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64" w:rsidRDefault="00A40264">
      <w:pPr>
        <w:jc w:val="center"/>
      </w:pPr>
      <w:r>
        <w:t>DISCLAIMER</w:t>
      </w:r>
    </w:p>
    <w:p w:rsidR="00A40264" w:rsidRDefault="00A40264"/>
    <w:p w:rsidR="00A40264" w:rsidRDefault="00A4026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0264" w:rsidRDefault="00A40264"/>
    <w:p w:rsidR="00A40264" w:rsidRDefault="00A402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0264" w:rsidRDefault="00A40264"/>
    <w:p w:rsidR="00A40264" w:rsidRDefault="00A402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0264" w:rsidRDefault="00A40264"/>
    <w:p w:rsidR="00A40264" w:rsidRDefault="00A402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0264" w:rsidRDefault="00A40264"/>
    <w:p w:rsidR="00A40264" w:rsidRDefault="00A40264">
      <w:pPr>
        <w:rPr>
          <w:rFonts w:cs="Times New Roman"/>
        </w:rPr>
      </w:pPr>
      <w:r>
        <w:rPr>
          <w:rFonts w:cs="Times New Roman"/>
        </w:rPr>
        <w:br w:type="page"/>
      </w:r>
    </w:p>
    <w:p w:rsid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514">
        <w:rPr>
          <w:rFonts w:cs="Times New Roman"/>
        </w:rPr>
        <w:t>CHAPTER 1.</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514">
        <w:rPr>
          <w:rFonts w:cs="Times New Roman"/>
        </w:rPr>
        <w:t xml:space="preserve"> GENERAL PROVISIONS</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10.</w:t>
      </w:r>
      <w:r w:rsidR="00827A29" w:rsidRPr="00CC2514">
        <w:rPr>
          <w:rFonts w:cs="Times New Roman"/>
        </w:rPr>
        <w:t xml:space="preserve"> Rules of construction.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rule of common law that statutes in derogation of that law are to be strictly construed has no application to this Title.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30.</w:t>
      </w:r>
      <w:r w:rsidR="00827A29" w:rsidRPr="00CC2514">
        <w:rPr>
          <w:rFonts w:cs="Times New Roman"/>
        </w:rPr>
        <w:t xml:space="preserve"> </w:t>
      </w:r>
      <w:r w:rsidRPr="00CC2514">
        <w:rPr>
          <w:rFonts w:cs="Times New Roman"/>
        </w:rPr>
        <w:t>“</w:t>
      </w:r>
      <w:r w:rsidR="00827A29" w:rsidRPr="00CC2514">
        <w:rPr>
          <w:rFonts w:cs="Times New Roman"/>
        </w:rPr>
        <w:t>Real property</w:t>
      </w:r>
      <w:r w:rsidRPr="00CC2514">
        <w:rPr>
          <w:rFonts w:cs="Times New Roman"/>
        </w:rPr>
        <w:t>”</w:t>
      </w:r>
      <w:r w:rsidR="00827A29" w:rsidRPr="00CC2514">
        <w:rPr>
          <w:rFonts w:cs="Times New Roman"/>
        </w:rPr>
        <w:t xml:space="preserve"> and </w:t>
      </w:r>
      <w:r w:rsidRPr="00CC2514">
        <w:rPr>
          <w:rFonts w:cs="Times New Roman"/>
        </w:rPr>
        <w:t>“</w:t>
      </w:r>
      <w:r w:rsidR="00827A29" w:rsidRPr="00CC2514">
        <w:rPr>
          <w:rFonts w:cs="Times New Roman"/>
        </w:rPr>
        <w:t>real estate</w:t>
      </w:r>
      <w:r w:rsidRPr="00CC2514">
        <w:rPr>
          <w:rFonts w:cs="Times New Roman"/>
        </w:rPr>
        <w:t>”</w:t>
      </w:r>
      <w:r w:rsidR="00827A29" w:rsidRPr="00CC2514">
        <w:rPr>
          <w:rFonts w:cs="Times New Roman"/>
        </w:rPr>
        <w:t xml:space="preserve"> defined.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words </w:t>
      </w:r>
      <w:r w:rsidR="00CC2514" w:rsidRPr="00CC2514">
        <w:rPr>
          <w:rFonts w:cs="Times New Roman"/>
        </w:rPr>
        <w:t>“</w:t>
      </w:r>
      <w:r w:rsidRPr="00CC2514">
        <w:rPr>
          <w:rFonts w:cs="Times New Roman"/>
        </w:rPr>
        <w:t>real property</w:t>
      </w:r>
      <w:r w:rsidR="00CC2514" w:rsidRPr="00CC2514">
        <w:rPr>
          <w:rFonts w:cs="Times New Roman"/>
        </w:rPr>
        <w:t>”</w:t>
      </w:r>
      <w:r w:rsidRPr="00CC2514">
        <w:rPr>
          <w:rFonts w:cs="Times New Roman"/>
        </w:rPr>
        <w:t xml:space="preserve"> and </w:t>
      </w:r>
      <w:r w:rsidR="00CC2514" w:rsidRPr="00CC2514">
        <w:rPr>
          <w:rFonts w:cs="Times New Roman"/>
        </w:rPr>
        <w:t>“</w:t>
      </w:r>
      <w:r w:rsidRPr="00CC2514">
        <w:rPr>
          <w:rFonts w:cs="Times New Roman"/>
        </w:rPr>
        <w:t>real estate</w:t>
      </w:r>
      <w:r w:rsidR="00CC2514" w:rsidRPr="00CC2514">
        <w:rPr>
          <w:rFonts w:cs="Times New Roman"/>
        </w:rPr>
        <w:t>”</w:t>
      </w:r>
      <w:r w:rsidRPr="00CC2514">
        <w:rPr>
          <w:rFonts w:cs="Times New Roman"/>
        </w:rPr>
        <w:t xml:space="preserve"> as used in this Title are coextensive with lands, tenements and hereditaments.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40.</w:t>
      </w:r>
      <w:r w:rsidR="00827A29" w:rsidRPr="00CC2514">
        <w:rPr>
          <w:rFonts w:cs="Times New Roman"/>
        </w:rPr>
        <w:t xml:space="preserve"> </w:t>
      </w:r>
      <w:r w:rsidRPr="00CC2514">
        <w:rPr>
          <w:rFonts w:cs="Times New Roman"/>
        </w:rPr>
        <w:t>“</w:t>
      </w:r>
      <w:r w:rsidR="00827A29" w:rsidRPr="00CC2514">
        <w:rPr>
          <w:rFonts w:cs="Times New Roman"/>
        </w:rPr>
        <w:t>Personal property</w:t>
      </w:r>
      <w:r w:rsidRPr="00CC2514">
        <w:rPr>
          <w:rFonts w:cs="Times New Roman"/>
        </w:rPr>
        <w:t>”</w:t>
      </w:r>
      <w:r w:rsidR="00827A29" w:rsidRPr="00CC2514">
        <w:rPr>
          <w:rFonts w:cs="Times New Roman"/>
        </w:rPr>
        <w:t xml:space="preserve"> defined.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words </w:t>
      </w:r>
      <w:r w:rsidR="00CC2514" w:rsidRPr="00CC2514">
        <w:rPr>
          <w:rFonts w:cs="Times New Roman"/>
        </w:rPr>
        <w:t>“</w:t>
      </w:r>
      <w:r w:rsidRPr="00CC2514">
        <w:rPr>
          <w:rFonts w:cs="Times New Roman"/>
        </w:rPr>
        <w:t>personal property,</w:t>
      </w:r>
      <w:r w:rsidR="00CC2514" w:rsidRPr="00CC2514">
        <w:rPr>
          <w:rFonts w:cs="Times New Roman"/>
        </w:rPr>
        <w:t>”</w:t>
      </w:r>
      <w:r w:rsidRPr="00CC2514">
        <w:rPr>
          <w:rFonts w:cs="Times New Roman"/>
        </w:rPr>
        <w:t xml:space="preserve"> as used in this Title, include money, goods, chattels, things in action and evidences of debt.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50.</w:t>
      </w:r>
      <w:r w:rsidR="00827A29" w:rsidRPr="00CC2514">
        <w:rPr>
          <w:rFonts w:cs="Times New Roman"/>
        </w:rPr>
        <w:t xml:space="preserve"> </w:t>
      </w:r>
      <w:r w:rsidRPr="00CC2514">
        <w:rPr>
          <w:rFonts w:cs="Times New Roman"/>
        </w:rPr>
        <w:t>“</w:t>
      </w:r>
      <w:r w:rsidR="00827A29" w:rsidRPr="00CC2514">
        <w:rPr>
          <w:rFonts w:cs="Times New Roman"/>
        </w:rPr>
        <w:t>Property</w:t>
      </w:r>
      <w:r w:rsidRPr="00CC2514">
        <w:rPr>
          <w:rFonts w:cs="Times New Roman"/>
        </w:rPr>
        <w:t>”</w:t>
      </w:r>
      <w:r w:rsidR="00827A29" w:rsidRPr="00CC2514">
        <w:rPr>
          <w:rFonts w:cs="Times New Roman"/>
        </w:rPr>
        <w:t xml:space="preserve"> defined.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word </w:t>
      </w:r>
      <w:r w:rsidR="00CC2514" w:rsidRPr="00CC2514">
        <w:rPr>
          <w:rFonts w:cs="Times New Roman"/>
        </w:rPr>
        <w:t>“</w:t>
      </w:r>
      <w:r w:rsidRPr="00CC2514">
        <w:rPr>
          <w:rFonts w:cs="Times New Roman"/>
        </w:rPr>
        <w:t>property,</w:t>
      </w:r>
      <w:r w:rsidR="00CC2514" w:rsidRPr="00CC2514">
        <w:rPr>
          <w:rFonts w:cs="Times New Roman"/>
        </w:rPr>
        <w:t>”</w:t>
      </w:r>
      <w:r w:rsidRPr="00CC2514">
        <w:rPr>
          <w:rFonts w:cs="Times New Roman"/>
        </w:rPr>
        <w:t xml:space="preserve"> as used in this Title, includes both real and personal property.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60.</w:t>
      </w:r>
      <w:r w:rsidR="00827A29" w:rsidRPr="00CC2514">
        <w:rPr>
          <w:rFonts w:cs="Times New Roman"/>
        </w:rPr>
        <w:t xml:space="preserve"> </w:t>
      </w:r>
      <w:r w:rsidRPr="00CC2514">
        <w:rPr>
          <w:rFonts w:cs="Times New Roman"/>
        </w:rPr>
        <w:t>“</w:t>
      </w:r>
      <w:r w:rsidR="00827A29" w:rsidRPr="00CC2514">
        <w:rPr>
          <w:rFonts w:cs="Times New Roman"/>
        </w:rPr>
        <w:t>Clerk</w:t>
      </w:r>
      <w:r w:rsidRPr="00CC2514">
        <w:rPr>
          <w:rFonts w:cs="Times New Roman"/>
        </w:rPr>
        <w:t>”</w:t>
      </w:r>
      <w:r w:rsidR="00827A29" w:rsidRPr="00CC2514">
        <w:rPr>
          <w:rFonts w:cs="Times New Roman"/>
        </w:rPr>
        <w:t xml:space="preserve"> defined.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word </w:t>
      </w:r>
      <w:r w:rsidR="00CC2514" w:rsidRPr="00CC2514">
        <w:rPr>
          <w:rFonts w:cs="Times New Roman"/>
        </w:rPr>
        <w:t>“</w:t>
      </w:r>
      <w:r w:rsidRPr="00CC2514">
        <w:rPr>
          <w:rFonts w:cs="Times New Roman"/>
        </w:rPr>
        <w:t>clerk</w:t>
      </w:r>
      <w:r w:rsidR="00CC2514" w:rsidRPr="00CC2514">
        <w:rPr>
          <w:rFonts w:cs="Times New Roman"/>
        </w:rPr>
        <w:t>”</w:t>
      </w:r>
      <w:r w:rsidRPr="00CC2514">
        <w:rPr>
          <w:rFonts w:cs="Times New Roman"/>
        </w:rPr>
        <w:t xml:space="preserve">,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220.</w:t>
      </w:r>
      <w:r w:rsidR="00827A29" w:rsidRPr="00CC2514">
        <w:rPr>
          <w:rFonts w:cs="Times New Roman"/>
        </w:rPr>
        <w:t xml:space="preserve"> Filing of undertakings.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230.</w:t>
      </w:r>
      <w:r w:rsidR="00827A29" w:rsidRPr="00CC2514">
        <w:rPr>
          <w:rFonts w:cs="Times New Roman"/>
        </w:rPr>
        <w:t xml:space="preserve"> Bonds in judicial proceedings.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240.</w:t>
      </w:r>
      <w:r w:rsidR="00827A29" w:rsidRPr="00CC2514">
        <w:rPr>
          <w:rFonts w:cs="Times New Roman"/>
        </w:rPr>
        <w:t xml:space="preserve"> Sheriff shall not take attorney at law or officer of court as bail.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No sheriff shall take any attorney at law or officer of court as bail for any person whomsoever in any civil case.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250.</w:t>
      </w:r>
      <w:r w:rsidR="00827A29" w:rsidRPr="00CC2514">
        <w:rPr>
          <w:rFonts w:cs="Times New Roman"/>
        </w:rPr>
        <w:t xml:space="preserve"> Cash deposit in lieu of bond.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260.</w:t>
      </w:r>
      <w:r w:rsidR="00827A29" w:rsidRPr="00CC2514">
        <w:rPr>
          <w:rFonts w:cs="Times New Roman"/>
        </w:rPr>
        <w:t xml:space="preserve"> Payment of deposit in lieu of bond.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Whenever such bond, recognizance or undertaking is required or authorized to be given in any civil proceeding: </w:t>
      </w: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(1) In the courts of common pleas of this State the sum of money deposited in lieu thereof shall be paid to the clerk of the court of common pleas in which such proceeding is pending; </w:t>
      </w: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(2) In the Supreme Court or court of appeals of this State the sum of money shall be paid to the clerk of that appellate court; </w:t>
      </w: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(3) In the probate courts of this State such sum of money shall be paid to the judge of the court of probate in which the proceeding is pending;  and </w:t>
      </w: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(4) In a magistrate</w:t>
      </w:r>
      <w:r w:rsidR="00CC2514" w:rsidRPr="00CC2514">
        <w:rPr>
          <w:rFonts w:cs="Times New Roman"/>
        </w:rPr>
        <w:t>’</w:t>
      </w:r>
      <w:r w:rsidRPr="00CC2514">
        <w:rPr>
          <w:rFonts w:cs="Times New Roman"/>
        </w:rPr>
        <w:t>s court or other court of inferior jurisdiction, such sum of money shall be paid to the clerk of the court of common pleas for the county in which such magistrate</w:t>
      </w:r>
      <w:r w:rsidR="00CC2514" w:rsidRPr="00CC2514">
        <w:rPr>
          <w:rFonts w:cs="Times New Roman"/>
        </w:rPr>
        <w:t>’</w:t>
      </w:r>
      <w:r w:rsidRPr="00CC2514">
        <w:rPr>
          <w:rFonts w:cs="Times New Roman"/>
        </w:rPr>
        <w:t xml:space="preserve">s court or other court of inferior jurisdiction shall be.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270.</w:t>
      </w:r>
      <w:r w:rsidR="00827A29" w:rsidRPr="00CC2514">
        <w:rPr>
          <w:rFonts w:cs="Times New Roman"/>
        </w:rPr>
        <w:t xml:space="preserve"> Receipt for deposit.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280.</w:t>
      </w:r>
      <w:r w:rsidR="00827A29" w:rsidRPr="00CC2514">
        <w:rPr>
          <w:rFonts w:cs="Times New Roman"/>
        </w:rPr>
        <w:t xml:space="preserve"> Return of deposit.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290.</w:t>
      </w:r>
      <w:r w:rsidR="00827A29" w:rsidRPr="00CC2514">
        <w:rPr>
          <w:rFonts w:cs="Times New Roman"/>
        </w:rPr>
        <w:t xml:space="preserve"> Liability for injury to guests in car.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 </w:t>
      </w: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300.</w:t>
      </w:r>
      <w:r w:rsidR="00827A29" w:rsidRPr="00CC2514">
        <w:rPr>
          <w:rFonts w:cs="Times New Roman"/>
        </w:rPr>
        <w:t xml:space="preserve"> Contributory negligence shall not bar recovery in motor vehicle accident action.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310.</w:t>
      </w:r>
      <w:r w:rsidR="00827A29" w:rsidRPr="00CC2514">
        <w:rPr>
          <w:rFonts w:cs="Times New Roman"/>
        </w:rPr>
        <w:t xml:space="preserve"> Liability for emergency care rendered at scene of accident.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320.</w:t>
      </w:r>
      <w:r w:rsidR="00827A29" w:rsidRPr="00CC2514">
        <w:rPr>
          <w:rFonts w:cs="Times New Roman"/>
        </w:rPr>
        <w:t xml:space="preserve">  to minors in State laws mean persons under age of 18 years;  exceptions;  presumption that minors were persons under age of 21 in certain wills, trusts and deeds.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 </w:t>
      </w: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(b) Persons executing wills, trusts and deeds prior to February 6, 1975, shall be presumed to have intended that minors were persons under the age of twenty</w:t>
      </w:r>
      <w:r w:rsidR="00CC2514" w:rsidRPr="00CC2514">
        <w:rPr>
          <w:rFonts w:cs="Times New Roman"/>
        </w:rPr>
        <w:noBreakHyphen/>
      </w:r>
      <w:r w:rsidRPr="00CC2514">
        <w:rPr>
          <w:rFonts w:cs="Times New Roman"/>
        </w:rPr>
        <w:t xml:space="preserve">one years in the absence of facts which would indicate a contrary intention.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330.</w:t>
      </w:r>
      <w:r w:rsidR="00827A29" w:rsidRPr="00CC2514">
        <w:rPr>
          <w:rFonts w:cs="Times New Roman"/>
        </w:rPr>
        <w:t xml:space="preserve"> </w:t>
      </w:r>
      <w:r w:rsidRPr="00CC2514">
        <w:rPr>
          <w:rFonts w:cs="Times New Roman"/>
        </w:rPr>
        <w:t>“</w:t>
      </w:r>
      <w:r w:rsidR="00827A29" w:rsidRPr="00CC2514">
        <w:rPr>
          <w:rFonts w:cs="Times New Roman"/>
        </w:rPr>
        <w:t>Year 2000</w:t>
      </w:r>
      <w:r w:rsidRPr="00CC2514">
        <w:rPr>
          <w:rFonts w:cs="Times New Roman"/>
        </w:rPr>
        <w:t>”</w:t>
      </w:r>
      <w:r w:rsidR="00827A29" w:rsidRPr="00CC2514">
        <w:rPr>
          <w:rFonts w:cs="Times New Roman"/>
        </w:rPr>
        <w:t xml:space="preserve"> computer failure immunity.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CC2514" w:rsidRPr="00CC2514">
        <w:rPr>
          <w:rFonts w:cs="Times New Roman"/>
        </w:rPr>
        <w:t>“</w:t>
      </w:r>
      <w:r w:rsidRPr="00CC2514">
        <w:rPr>
          <w:rFonts w:cs="Times New Roman"/>
        </w:rPr>
        <w:t>Year 2000</w:t>
      </w:r>
      <w:r w:rsidR="00CC2514" w:rsidRPr="00CC2514">
        <w:rPr>
          <w:rFonts w:cs="Times New Roman"/>
        </w:rPr>
        <w:t>”</w:t>
      </w:r>
      <w:r w:rsidRPr="00CC2514">
        <w:rPr>
          <w:rFonts w:cs="Times New Roman"/>
        </w:rPr>
        <w:t xml:space="preserve"> date change.  However, this immunity does not apply to a governmental entity which programmed and operated the device itself in a wilful, wanton, reckless, or grossly negligent manner thereby causing a Year 2000 computer failure. </w:t>
      </w:r>
    </w:p>
    <w:p w:rsidR="00CC2514" w:rsidRP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b/>
        </w:rPr>
        <w:t xml:space="preserve">SECTION </w:t>
      </w:r>
      <w:r w:rsidR="00827A29" w:rsidRPr="00CC2514">
        <w:rPr>
          <w:rFonts w:cs="Times New Roman"/>
          <w:b/>
        </w:rPr>
        <w:t>15</w:t>
      </w:r>
      <w:r w:rsidRPr="00CC2514">
        <w:rPr>
          <w:rFonts w:cs="Times New Roman"/>
          <w:b/>
        </w:rPr>
        <w:noBreakHyphen/>
      </w:r>
      <w:r w:rsidR="00827A29" w:rsidRPr="00CC2514">
        <w:rPr>
          <w:rFonts w:cs="Times New Roman"/>
          <w:b/>
        </w:rPr>
        <w:t>1</w:t>
      </w:r>
      <w:r w:rsidRPr="00CC2514">
        <w:rPr>
          <w:rFonts w:cs="Times New Roman"/>
          <w:b/>
        </w:rPr>
        <w:noBreakHyphen/>
      </w:r>
      <w:r w:rsidR="00827A29" w:rsidRPr="00CC2514">
        <w:rPr>
          <w:rFonts w:cs="Times New Roman"/>
          <w:b/>
        </w:rPr>
        <w:t>340.</w:t>
      </w:r>
      <w:r w:rsidR="00827A29" w:rsidRPr="00CC2514">
        <w:rPr>
          <w:rFonts w:cs="Times New Roman"/>
        </w:rPr>
        <w:t xml:space="preserve"> Right of service member to proceed in civil action;  providing evidence by video</w:t>
      </w:r>
      <w:r w:rsidRPr="00CC2514">
        <w:rPr>
          <w:rFonts w:cs="Times New Roman"/>
        </w:rPr>
        <w:noBreakHyphen/>
      </w:r>
      <w:r w:rsidR="00827A29" w:rsidRPr="00CC2514">
        <w:rPr>
          <w:rFonts w:cs="Times New Roman"/>
        </w:rPr>
        <w:t xml:space="preserve">camera or other electronic means. </w:t>
      </w:r>
    </w:p>
    <w:p w:rsidR="00CC2514" w:rsidRDefault="00CC251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A29" w:rsidRPr="00CC251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CC2514" w:rsidRPr="00CC2514">
        <w:rPr>
          <w:rFonts w:cs="Times New Roman"/>
        </w:rPr>
        <w:noBreakHyphen/>
      </w:r>
      <w:r w:rsidRPr="00CC2514">
        <w:rPr>
          <w:rFonts w:cs="Times New Roman"/>
        </w:rPr>
        <w:t xml:space="preserve">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w:t>
      </w:r>
    </w:p>
    <w:p w:rsidR="00A40264" w:rsidRDefault="00827A29"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14">
        <w:rPr>
          <w:rFonts w:cs="Times New Roman"/>
        </w:rPr>
        <w:t xml:space="preserve">(B)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A40264" w:rsidRDefault="00A40264"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2514" w:rsidRDefault="00184435" w:rsidP="00CC2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2514" w:rsidSect="00CC25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14" w:rsidRDefault="00CC2514" w:rsidP="00CC2514">
      <w:r>
        <w:separator/>
      </w:r>
    </w:p>
  </w:endnote>
  <w:endnote w:type="continuationSeparator" w:id="0">
    <w:p w:rsidR="00CC2514" w:rsidRDefault="00CC2514" w:rsidP="00CC2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14" w:rsidRPr="00CC2514" w:rsidRDefault="00CC2514" w:rsidP="00CC25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14" w:rsidRPr="00CC2514" w:rsidRDefault="00CC2514" w:rsidP="00CC25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14" w:rsidRPr="00CC2514" w:rsidRDefault="00CC2514" w:rsidP="00CC25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14" w:rsidRDefault="00CC2514" w:rsidP="00CC2514">
      <w:r>
        <w:separator/>
      </w:r>
    </w:p>
  </w:footnote>
  <w:footnote w:type="continuationSeparator" w:id="0">
    <w:p w:rsidR="00CC2514" w:rsidRDefault="00CC2514" w:rsidP="00CC2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14" w:rsidRPr="00CC2514" w:rsidRDefault="00CC2514" w:rsidP="00CC25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14" w:rsidRPr="00CC2514" w:rsidRDefault="00CC2514" w:rsidP="00CC25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14" w:rsidRPr="00CC2514" w:rsidRDefault="00CC2514" w:rsidP="00CC25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7A29"/>
    <w:rsid w:val="000B3C22"/>
    <w:rsid w:val="000B44D7"/>
    <w:rsid w:val="001763C2"/>
    <w:rsid w:val="00184435"/>
    <w:rsid w:val="00247C2E"/>
    <w:rsid w:val="002C4F8E"/>
    <w:rsid w:val="00641054"/>
    <w:rsid w:val="00817EA2"/>
    <w:rsid w:val="00827A29"/>
    <w:rsid w:val="00A40264"/>
    <w:rsid w:val="00C43F44"/>
    <w:rsid w:val="00CC251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2514"/>
    <w:pPr>
      <w:tabs>
        <w:tab w:val="center" w:pos="4680"/>
        <w:tab w:val="right" w:pos="9360"/>
      </w:tabs>
    </w:pPr>
  </w:style>
  <w:style w:type="character" w:customStyle="1" w:styleId="HeaderChar">
    <w:name w:val="Header Char"/>
    <w:basedOn w:val="DefaultParagraphFont"/>
    <w:link w:val="Header"/>
    <w:uiPriority w:val="99"/>
    <w:semiHidden/>
    <w:rsid w:val="00CC2514"/>
  </w:style>
  <w:style w:type="paragraph" w:styleId="Footer">
    <w:name w:val="footer"/>
    <w:basedOn w:val="Normal"/>
    <w:link w:val="FooterChar"/>
    <w:uiPriority w:val="99"/>
    <w:semiHidden/>
    <w:unhideWhenUsed/>
    <w:rsid w:val="00CC2514"/>
    <w:pPr>
      <w:tabs>
        <w:tab w:val="center" w:pos="4680"/>
        <w:tab w:val="right" w:pos="9360"/>
      </w:tabs>
    </w:pPr>
  </w:style>
  <w:style w:type="character" w:customStyle="1" w:styleId="FooterChar">
    <w:name w:val="Footer Char"/>
    <w:basedOn w:val="DefaultParagraphFont"/>
    <w:link w:val="Footer"/>
    <w:uiPriority w:val="99"/>
    <w:semiHidden/>
    <w:rsid w:val="00CC2514"/>
  </w:style>
  <w:style w:type="paragraph" w:styleId="BalloonText">
    <w:name w:val="Balloon Text"/>
    <w:basedOn w:val="Normal"/>
    <w:link w:val="BalloonTextChar"/>
    <w:uiPriority w:val="99"/>
    <w:semiHidden/>
    <w:unhideWhenUsed/>
    <w:rsid w:val="00827A29"/>
    <w:rPr>
      <w:rFonts w:ascii="Tahoma" w:hAnsi="Tahoma" w:cs="Tahoma"/>
      <w:sz w:val="16"/>
      <w:szCs w:val="16"/>
    </w:rPr>
  </w:style>
  <w:style w:type="character" w:customStyle="1" w:styleId="BalloonTextChar">
    <w:name w:val="Balloon Text Char"/>
    <w:basedOn w:val="DefaultParagraphFont"/>
    <w:link w:val="BalloonText"/>
    <w:uiPriority w:val="99"/>
    <w:semiHidden/>
    <w:rsid w:val="00827A29"/>
    <w:rPr>
      <w:rFonts w:ascii="Tahoma" w:hAnsi="Tahoma" w:cs="Tahoma"/>
      <w:sz w:val="16"/>
      <w:szCs w:val="16"/>
    </w:rPr>
  </w:style>
  <w:style w:type="character" w:styleId="Hyperlink">
    <w:name w:val="Hyperlink"/>
    <w:basedOn w:val="DefaultParagraphFont"/>
    <w:semiHidden/>
    <w:rsid w:val="00A402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1763</Words>
  <Characters>10051</Characters>
  <Application>Microsoft Office Word</Application>
  <DocSecurity>0</DocSecurity>
  <Lines>83</Lines>
  <Paragraphs>23</Paragraphs>
  <ScaleCrop>false</ScaleCrop>
  <Company>LPITS</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2011-01-12T17:22:00Z</dcterms:created>
  <dcterms:modified xsi:type="dcterms:W3CDTF">2011-01-14T16:55:00Z</dcterms:modified>
</cp:coreProperties>
</file>