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F8" w:rsidRDefault="00884AF8">
      <w:pPr>
        <w:jc w:val="center"/>
      </w:pPr>
      <w:r>
        <w:t>DISCLAIMER</w:t>
      </w:r>
    </w:p>
    <w:p w:rsidR="00884AF8" w:rsidRDefault="00884AF8"/>
    <w:p w:rsidR="00884AF8" w:rsidRDefault="00884AF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84AF8" w:rsidRDefault="00884AF8"/>
    <w:p w:rsidR="00884AF8" w:rsidRDefault="00884A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4AF8" w:rsidRDefault="00884AF8"/>
    <w:p w:rsidR="00884AF8" w:rsidRDefault="00884A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4AF8" w:rsidRDefault="00884AF8"/>
    <w:p w:rsidR="00884AF8" w:rsidRDefault="00884A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4AF8" w:rsidRDefault="00884AF8"/>
    <w:p w:rsidR="00884AF8" w:rsidRDefault="00884AF8">
      <w:pPr>
        <w:rPr>
          <w:rFonts w:cs="Times New Roman"/>
        </w:rPr>
      </w:pPr>
      <w:r>
        <w:rPr>
          <w:rFonts w:cs="Times New Roman"/>
        </w:rPr>
        <w:br w:type="page"/>
      </w:r>
    </w:p>
    <w:p w:rsidR="00ED447B" w:rsidRDefault="005C27B0"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447B">
        <w:rPr>
          <w:rFonts w:cs="Times New Roman"/>
        </w:rPr>
        <w:t>CHAPTER 31.</w:t>
      </w:r>
    </w:p>
    <w:p w:rsidR="00ED447B" w:rsidRDefault="00ED447B"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D447B" w:rsidRPr="00ED447B" w:rsidRDefault="005C27B0"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447B">
        <w:rPr>
          <w:rFonts w:cs="Times New Roman"/>
        </w:rPr>
        <w:t xml:space="preserve"> REFEREES AND MASTERS</w:t>
      </w:r>
    </w:p>
    <w:p w:rsidR="00ED447B" w:rsidRPr="00ED447B" w:rsidRDefault="00ED447B"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47B" w:rsidRDefault="00ED447B"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47B">
        <w:rPr>
          <w:rFonts w:cs="Times New Roman"/>
          <w:b/>
        </w:rPr>
        <w:t xml:space="preserve">SECTION </w:t>
      </w:r>
      <w:r w:rsidR="005C27B0" w:rsidRPr="00ED447B">
        <w:rPr>
          <w:rFonts w:cs="Times New Roman"/>
          <w:b/>
        </w:rPr>
        <w:t>15</w:t>
      </w:r>
      <w:r w:rsidRPr="00ED447B">
        <w:rPr>
          <w:rFonts w:cs="Times New Roman"/>
          <w:b/>
        </w:rPr>
        <w:noBreakHyphen/>
      </w:r>
      <w:r w:rsidR="005C27B0" w:rsidRPr="00ED447B">
        <w:rPr>
          <w:rFonts w:cs="Times New Roman"/>
          <w:b/>
        </w:rPr>
        <w:t>31</w:t>
      </w:r>
      <w:r w:rsidRPr="00ED447B">
        <w:rPr>
          <w:rFonts w:cs="Times New Roman"/>
          <w:b/>
        </w:rPr>
        <w:noBreakHyphen/>
      </w:r>
      <w:r w:rsidR="005C27B0" w:rsidRPr="00ED447B">
        <w:rPr>
          <w:rFonts w:cs="Times New Roman"/>
          <w:b/>
        </w:rPr>
        <w:t>150.</w:t>
      </w:r>
      <w:r w:rsidR="005C27B0" w:rsidRPr="00ED447B">
        <w:rPr>
          <w:rFonts w:cs="Times New Roman"/>
        </w:rPr>
        <w:t xml:space="preserve"> Appointment of special referees;  compensation;  authority. </w:t>
      </w:r>
    </w:p>
    <w:p w:rsidR="00ED447B" w:rsidRDefault="00ED447B"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AF8" w:rsidRDefault="005C27B0"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47B">
        <w:rPr>
          <w:rFonts w:cs="Times New Roman"/>
        </w:rPr>
        <w:t xml:space="preserve">The provisions of </w:t>
      </w:r>
      <w:r w:rsidR="00ED447B" w:rsidRPr="00ED447B">
        <w:rPr>
          <w:rFonts w:cs="Times New Roman"/>
        </w:rPr>
        <w:t xml:space="preserve">Sections </w:t>
      </w:r>
      <w:r w:rsidRPr="00ED447B">
        <w:rPr>
          <w:rFonts w:cs="Times New Roman"/>
        </w:rPr>
        <w:t>14</w:t>
      </w:r>
      <w:r w:rsidR="00ED447B" w:rsidRPr="00ED447B">
        <w:rPr>
          <w:rFonts w:cs="Times New Roman"/>
        </w:rPr>
        <w:noBreakHyphen/>
      </w:r>
      <w:r w:rsidRPr="00ED447B">
        <w:rPr>
          <w:rFonts w:cs="Times New Roman"/>
        </w:rPr>
        <w:t>2</w:t>
      </w:r>
      <w:r w:rsidR="00ED447B" w:rsidRPr="00ED447B">
        <w:rPr>
          <w:rFonts w:cs="Times New Roman"/>
        </w:rPr>
        <w:noBreakHyphen/>
      </w:r>
      <w:r w:rsidRPr="00ED447B">
        <w:rPr>
          <w:rFonts w:cs="Times New Roman"/>
        </w:rPr>
        <w:t>50, 14</w:t>
      </w:r>
      <w:r w:rsidR="00ED447B" w:rsidRPr="00ED447B">
        <w:rPr>
          <w:rFonts w:cs="Times New Roman"/>
        </w:rPr>
        <w:noBreakHyphen/>
      </w:r>
      <w:r w:rsidRPr="00ED447B">
        <w:rPr>
          <w:rFonts w:cs="Times New Roman"/>
        </w:rPr>
        <w:t>11</w:t>
      </w:r>
      <w:r w:rsidR="00ED447B" w:rsidRPr="00ED447B">
        <w:rPr>
          <w:rFonts w:cs="Times New Roman"/>
        </w:rPr>
        <w:noBreakHyphen/>
      </w:r>
      <w:r w:rsidRPr="00ED447B">
        <w:rPr>
          <w:rFonts w:cs="Times New Roman"/>
        </w:rPr>
        <w:t>10 to 14</w:t>
      </w:r>
      <w:r w:rsidR="00ED447B" w:rsidRPr="00ED447B">
        <w:rPr>
          <w:rFonts w:cs="Times New Roman"/>
        </w:rPr>
        <w:noBreakHyphen/>
      </w:r>
      <w:r w:rsidRPr="00ED447B">
        <w:rPr>
          <w:rFonts w:cs="Times New Roman"/>
        </w:rPr>
        <w:t>11</w:t>
      </w:r>
      <w:r w:rsidR="00ED447B" w:rsidRPr="00ED447B">
        <w:rPr>
          <w:rFonts w:cs="Times New Roman"/>
        </w:rPr>
        <w:noBreakHyphen/>
      </w:r>
      <w:r w:rsidRPr="00ED447B">
        <w:rPr>
          <w:rFonts w:cs="Times New Roman"/>
        </w:rPr>
        <w:t>90;  14</w:t>
      </w:r>
      <w:r w:rsidR="00ED447B" w:rsidRPr="00ED447B">
        <w:rPr>
          <w:rFonts w:cs="Times New Roman"/>
        </w:rPr>
        <w:noBreakHyphen/>
      </w:r>
      <w:r w:rsidRPr="00ED447B">
        <w:rPr>
          <w:rFonts w:cs="Times New Roman"/>
        </w:rPr>
        <w:t>11</w:t>
      </w:r>
      <w:r w:rsidR="00ED447B" w:rsidRPr="00ED447B">
        <w:rPr>
          <w:rFonts w:cs="Times New Roman"/>
        </w:rPr>
        <w:noBreakHyphen/>
      </w:r>
      <w:r w:rsidRPr="00ED447B">
        <w:rPr>
          <w:rFonts w:cs="Times New Roman"/>
        </w:rPr>
        <w:t>310;  15</w:t>
      </w:r>
      <w:r w:rsidR="00ED447B" w:rsidRPr="00ED447B">
        <w:rPr>
          <w:rFonts w:cs="Times New Roman"/>
        </w:rPr>
        <w:noBreakHyphen/>
      </w:r>
      <w:r w:rsidRPr="00ED447B">
        <w:rPr>
          <w:rFonts w:cs="Times New Roman"/>
        </w:rPr>
        <w:t>31</w:t>
      </w:r>
      <w:r w:rsidR="00ED447B" w:rsidRPr="00ED447B">
        <w:rPr>
          <w:rFonts w:cs="Times New Roman"/>
        </w:rPr>
        <w:noBreakHyphen/>
      </w:r>
      <w:r w:rsidRPr="00ED447B">
        <w:rPr>
          <w:rFonts w:cs="Times New Roman"/>
        </w:rPr>
        <w:t>10 to 15</w:t>
      </w:r>
      <w:r w:rsidR="00ED447B" w:rsidRPr="00ED447B">
        <w:rPr>
          <w:rFonts w:cs="Times New Roman"/>
        </w:rPr>
        <w:noBreakHyphen/>
      </w:r>
      <w:r w:rsidRPr="00ED447B">
        <w:rPr>
          <w:rFonts w:cs="Times New Roman"/>
        </w:rPr>
        <w:t>31</w:t>
      </w:r>
      <w:r w:rsidR="00ED447B" w:rsidRPr="00ED447B">
        <w:rPr>
          <w:rFonts w:cs="Times New Roman"/>
        </w:rPr>
        <w:noBreakHyphen/>
      </w:r>
      <w:r w:rsidRPr="00ED447B">
        <w:rPr>
          <w:rFonts w:cs="Times New Roman"/>
        </w:rPr>
        <w:t>80;  15</w:t>
      </w:r>
      <w:r w:rsidR="00ED447B" w:rsidRPr="00ED447B">
        <w:rPr>
          <w:rFonts w:cs="Times New Roman"/>
        </w:rPr>
        <w:noBreakHyphen/>
      </w:r>
      <w:r w:rsidRPr="00ED447B">
        <w:rPr>
          <w:rFonts w:cs="Times New Roman"/>
        </w:rPr>
        <w:t>39</w:t>
      </w:r>
      <w:r w:rsidR="00ED447B" w:rsidRPr="00ED447B">
        <w:rPr>
          <w:rFonts w:cs="Times New Roman"/>
        </w:rPr>
        <w:noBreakHyphen/>
      </w:r>
      <w:r w:rsidRPr="00ED447B">
        <w:rPr>
          <w:rFonts w:cs="Times New Roman"/>
        </w:rPr>
        <w:t>380 to 15</w:t>
      </w:r>
      <w:r w:rsidR="00ED447B" w:rsidRPr="00ED447B">
        <w:rPr>
          <w:rFonts w:cs="Times New Roman"/>
        </w:rPr>
        <w:noBreakHyphen/>
      </w:r>
      <w:r w:rsidRPr="00ED447B">
        <w:rPr>
          <w:rFonts w:cs="Times New Roman"/>
        </w:rPr>
        <w:t>39</w:t>
      </w:r>
      <w:r w:rsidR="00ED447B" w:rsidRPr="00ED447B">
        <w:rPr>
          <w:rFonts w:cs="Times New Roman"/>
        </w:rPr>
        <w:noBreakHyphen/>
      </w:r>
      <w:r w:rsidRPr="00ED447B">
        <w:rPr>
          <w:rFonts w:cs="Times New Roman"/>
        </w:rPr>
        <w:t>400, and 15</w:t>
      </w:r>
      <w:r w:rsidR="00ED447B" w:rsidRPr="00ED447B">
        <w:rPr>
          <w:rFonts w:cs="Times New Roman"/>
        </w:rPr>
        <w:noBreakHyphen/>
      </w:r>
      <w:r w:rsidRPr="00ED447B">
        <w:rPr>
          <w:rFonts w:cs="Times New Roman"/>
        </w:rPr>
        <w:t>39</w:t>
      </w:r>
      <w:r w:rsidR="00ED447B" w:rsidRPr="00ED447B">
        <w:rPr>
          <w:rFonts w:cs="Times New Roman"/>
        </w:rPr>
        <w:noBreakHyphen/>
      </w:r>
      <w:r w:rsidRPr="00ED447B">
        <w:rPr>
          <w:rFonts w:cs="Times New Roman"/>
        </w:rPr>
        <w:t xml:space="preserve">490 shall not be construed as preventing a circuit court from appointing a special referee in the manner as provided in </w:t>
      </w:r>
      <w:r w:rsidR="00ED447B" w:rsidRPr="00ED447B">
        <w:rPr>
          <w:rFonts w:cs="Times New Roman"/>
        </w:rPr>
        <w:t xml:space="preserve">Section </w:t>
      </w:r>
      <w:r w:rsidRPr="00ED447B">
        <w:rPr>
          <w:rFonts w:cs="Times New Roman"/>
        </w:rPr>
        <w:t>15</w:t>
      </w:r>
      <w:r w:rsidR="00ED447B" w:rsidRPr="00ED447B">
        <w:rPr>
          <w:rFonts w:cs="Times New Roman"/>
        </w:rPr>
        <w:noBreakHyphen/>
      </w:r>
      <w:r w:rsidRPr="00ED447B">
        <w:rPr>
          <w:rFonts w:cs="Times New Roman"/>
        </w:rPr>
        <w:t>31</w:t>
      </w:r>
      <w:r w:rsidR="00ED447B" w:rsidRPr="00ED447B">
        <w:rPr>
          <w:rFonts w:cs="Times New Roman"/>
        </w:rPr>
        <w:noBreakHyphen/>
      </w:r>
      <w:r w:rsidRPr="00ED447B">
        <w:rPr>
          <w:rFonts w:cs="Times New Roman"/>
        </w:rPr>
        <w:t>140.  Special referees shall be compensated by the parties involved.  Special referees shall have the same authority as masters</w:t>
      </w:r>
      <w:r w:rsidR="00ED447B" w:rsidRPr="00ED447B">
        <w:rPr>
          <w:rFonts w:cs="Times New Roman"/>
        </w:rPr>
        <w:noBreakHyphen/>
      </w:r>
      <w:r w:rsidRPr="00ED447B">
        <w:rPr>
          <w:rFonts w:cs="Times New Roman"/>
        </w:rPr>
        <w:t>in</w:t>
      </w:r>
      <w:r w:rsidR="00ED447B" w:rsidRPr="00ED447B">
        <w:rPr>
          <w:rFonts w:cs="Times New Roman"/>
        </w:rPr>
        <w:noBreakHyphen/>
      </w:r>
      <w:r w:rsidRPr="00ED447B">
        <w:rPr>
          <w:rFonts w:cs="Times New Roman"/>
        </w:rPr>
        <w:t xml:space="preserve">equity and shall be accountable to the appointing court. </w:t>
      </w:r>
    </w:p>
    <w:p w:rsidR="00884AF8" w:rsidRDefault="00884AF8"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D447B" w:rsidRDefault="00184435" w:rsidP="00ED4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D447B" w:rsidSect="00ED44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47B" w:rsidRDefault="00ED447B" w:rsidP="00ED447B">
      <w:r>
        <w:separator/>
      </w:r>
    </w:p>
  </w:endnote>
  <w:endnote w:type="continuationSeparator" w:id="0">
    <w:p w:rsidR="00ED447B" w:rsidRDefault="00ED447B" w:rsidP="00ED4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7B" w:rsidRPr="00ED447B" w:rsidRDefault="00ED447B" w:rsidP="00ED4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7B" w:rsidRPr="00ED447B" w:rsidRDefault="00ED447B" w:rsidP="00ED44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7B" w:rsidRPr="00ED447B" w:rsidRDefault="00ED447B" w:rsidP="00ED4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47B" w:rsidRDefault="00ED447B" w:rsidP="00ED447B">
      <w:r>
        <w:separator/>
      </w:r>
    </w:p>
  </w:footnote>
  <w:footnote w:type="continuationSeparator" w:id="0">
    <w:p w:rsidR="00ED447B" w:rsidRDefault="00ED447B" w:rsidP="00ED4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7B" w:rsidRPr="00ED447B" w:rsidRDefault="00ED447B" w:rsidP="00ED4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7B" w:rsidRPr="00ED447B" w:rsidRDefault="00ED447B" w:rsidP="00ED44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7B" w:rsidRPr="00ED447B" w:rsidRDefault="00ED447B" w:rsidP="00ED44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27B0"/>
    <w:rsid w:val="000B3C22"/>
    <w:rsid w:val="001763C2"/>
    <w:rsid w:val="00184435"/>
    <w:rsid w:val="00247C2E"/>
    <w:rsid w:val="002C4F8E"/>
    <w:rsid w:val="005C27B0"/>
    <w:rsid w:val="00817EA2"/>
    <w:rsid w:val="00881016"/>
    <w:rsid w:val="00884AF8"/>
    <w:rsid w:val="00B701B1"/>
    <w:rsid w:val="00C43F44"/>
    <w:rsid w:val="00D349ED"/>
    <w:rsid w:val="00ED447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47B"/>
    <w:pPr>
      <w:tabs>
        <w:tab w:val="center" w:pos="4680"/>
        <w:tab w:val="right" w:pos="9360"/>
      </w:tabs>
    </w:pPr>
  </w:style>
  <w:style w:type="character" w:customStyle="1" w:styleId="HeaderChar">
    <w:name w:val="Header Char"/>
    <w:basedOn w:val="DefaultParagraphFont"/>
    <w:link w:val="Header"/>
    <w:uiPriority w:val="99"/>
    <w:semiHidden/>
    <w:rsid w:val="00ED447B"/>
  </w:style>
  <w:style w:type="paragraph" w:styleId="Footer">
    <w:name w:val="footer"/>
    <w:basedOn w:val="Normal"/>
    <w:link w:val="FooterChar"/>
    <w:uiPriority w:val="99"/>
    <w:semiHidden/>
    <w:unhideWhenUsed/>
    <w:rsid w:val="00ED447B"/>
    <w:pPr>
      <w:tabs>
        <w:tab w:val="center" w:pos="4680"/>
        <w:tab w:val="right" w:pos="9360"/>
      </w:tabs>
    </w:pPr>
  </w:style>
  <w:style w:type="character" w:customStyle="1" w:styleId="FooterChar">
    <w:name w:val="Footer Char"/>
    <w:basedOn w:val="DefaultParagraphFont"/>
    <w:link w:val="Footer"/>
    <w:uiPriority w:val="99"/>
    <w:semiHidden/>
    <w:rsid w:val="00ED447B"/>
  </w:style>
  <w:style w:type="paragraph" w:styleId="BalloonText">
    <w:name w:val="Balloon Text"/>
    <w:basedOn w:val="Normal"/>
    <w:link w:val="BalloonTextChar"/>
    <w:uiPriority w:val="99"/>
    <w:semiHidden/>
    <w:unhideWhenUsed/>
    <w:rsid w:val="005C27B0"/>
    <w:rPr>
      <w:rFonts w:ascii="Tahoma" w:hAnsi="Tahoma" w:cs="Tahoma"/>
      <w:sz w:val="16"/>
      <w:szCs w:val="16"/>
    </w:rPr>
  </w:style>
  <w:style w:type="character" w:customStyle="1" w:styleId="BalloonTextChar">
    <w:name w:val="Balloon Text Char"/>
    <w:basedOn w:val="DefaultParagraphFont"/>
    <w:link w:val="BalloonText"/>
    <w:uiPriority w:val="99"/>
    <w:semiHidden/>
    <w:rsid w:val="005C27B0"/>
    <w:rPr>
      <w:rFonts w:ascii="Tahoma" w:hAnsi="Tahoma" w:cs="Tahoma"/>
      <w:sz w:val="16"/>
      <w:szCs w:val="16"/>
    </w:rPr>
  </w:style>
  <w:style w:type="character" w:styleId="Hyperlink">
    <w:name w:val="Hyperlink"/>
    <w:basedOn w:val="DefaultParagraphFont"/>
    <w:semiHidden/>
    <w:rsid w:val="00884A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LPITS</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