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B5" w:rsidRPr="00BC7B0B" w:rsidRDefault="008977B5" w:rsidP="00BC7B0B">
      <w:pPr>
        <w:spacing w:after="0"/>
        <w:jc w:val="center"/>
        <w:rPr>
          <w:sz w:val="22"/>
          <w:szCs w:val="22"/>
        </w:rPr>
      </w:pPr>
      <w:r w:rsidRPr="00BC7B0B">
        <w:rPr>
          <w:sz w:val="22"/>
          <w:szCs w:val="22"/>
        </w:rPr>
        <w:t>DISCLAIMER</w:t>
      </w:r>
    </w:p>
    <w:p w:rsidR="008977B5" w:rsidRPr="00BC7B0B" w:rsidRDefault="008977B5" w:rsidP="00BC7B0B">
      <w:pPr>
        <w:spacing w:after="0"/>
        <w:rPr>
          <w:sz w:val="22"/>
          <w:szCs w:val="22"/>
        </w:rPr>
      </w:pPr>
    </w:p>
    <w:p w:rsidR="008977B5" w:rsidRPr="00BC7B0B" w:rsidRDefault="008977B5" w:rsidP="00BC7B0B">
      <w:pPr>
        <w:spacing w:after="0"/>
        <w:jc w:val="both"/>
        <w:rPr>
          <w:sz w:val="22"/>
          <w:szCs w:val="22"/>
        </w:rPr>
      </w:pPr>
      <w:r w:rsidRPr="00BC7B0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977B5" w:rsidRPr="00BC7B0B" w:rsidRDefault="008977B5" w:rsidP="00BC7B0B">
      <w:pPr>
        <w:spacing w:after="0"/>
        <w:rPr>
          <w:sz w:val="22"/>
          <w:szCs w:val="22"/>
        </w:rPr>
      </w:pPr>
    </w:p>
    <w:p w:rsidR="008977B5" w:rsidRPr="00BC7B0B" w:rsidRDefault="008977B5" w:rsidP="00BC7B0B">
      <w:pPr>
        <w:spacing w:after="0"/>
        <w:jc w:val="both"/>
        <w:rPr>
          <w:sz w:val="22"/>
          <w:szCs w:val="22"/>
        </w:rPr>
      </w:pPr>
      <w:r w:rsidRPr="00BC7B0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77B5" w:rsidRPr="00BC7B0B" w:rsidRDefault="008977B5" w:rsidP="00BC7B0B">
      <w:pPr>
        <w:spacing w:after="0"/>
        <w:rPr>
          <w:sz w:val="22"/>
          <w:szCs w:val="22"/>
        </w:rPr>
      </w:pPr>
    </w:p>
    <w:p w:rsidR="008977B5" w:rsidRPr="00BC7B0B" w:rsidRDefault="008977B5" w:rsidP="00BC7B0B">
      <w:pPr>
        <w:spacing w:after="0"/>
        <w:jc w:val="both"/>
        <w:rPr>
          <w:sz w:val="22"/>
          <w:szCs w:val="22"/>
        </w:rPr>
      </w:pPr>
      <w:r w:rsidRPr="00BC7B0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77B5" w:rsidRPr="00BC7B0B" w:rsidRDefault="008977B5" w:rsidP="00BC7B0B">
      <w:pPr>
        <w:spacing w:after="0"/>
        <w:rPr>
          <w:sz w:val="22"/>
          <w:szCs w:val="22"/>
        </w:rPr>
      </w:pPr>
    </w:p>
    <w:p w:rsidR="008977B5" w:rsidRPr="00BC7B0B" w:rsidRDefault="008977B5" w:rsidP="00BC7B0B">
      <w:pPr>
        <w:spacing w:after="0"/>
        <w:jc w:val="both"/>
        <w:rPr>
          <w:sz w:val="22"/>
          <w:szCs w:val="22"/>
        </w:rPr>
      </w:pPr>
      <w:r w:rsidRPr="00BC7B0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C7B0B">
          <w:rPr>
            <w:rStyle w:val="Hyperlink"/>
            <w:sz w:val="22"/>
            <w:szCs w:val="22"/>
          </w:rPr>
          <w:t>LPITS@scstatehouse.gov</w:t>
        </w:r>
      </w:hyperlink>
      <w:r w:rsidRPr="00BC7B0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977B5" w:rsidRDefault="008977B5"/>
    <w:p w:rsidR="008977B5" w:rsidRDefault="008977B5">
      <w:pPr>
        <w:widowControl/>
        <w:autoSpaceDE/>
        <w:autoSpaceDN/>
        <w:adjustRightInd/>
        <w:spacing w:after="200" w:line="276" w:lineRule="auto"/>
        <w:rPr>
          <w:color w:val="auto"/>
          <w:sz w:val="22"/>
        </w:rPr>
      </w:pPr>
      <w:r>
        <w:rPr>
          <w:color w:val="auto"/>
          <w:sz w:val="22"/>
        </w:rPr>
        <w:br w:type="page"/>
      </w:r>
    </w:p>
    <w:p w:rsid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A740B">
        <w:rPr>
          <w:color w:val="auto"/>
          <w:sz w:val="22"/>
        </w:rPr>
        <w:lastRenderedPageBreak/>
        <w:t>CHAPTER 81.</w:t>
      </w: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977B5"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A740B">
        <w:rPr>
          <w:color w:val="auto"/>
          <w:sz w:val="22"/>
        </w:rPr>
        <w:t xml:space="preserve"> SUCCESSOR ASBESTOS</w:t>
      </w:r>
      <w:r w:rsidR="009A740B" w:rsidRPr="009A740B">
        <w:rPr>
          <w:color w:val="auto"/>
          <w:sz w:val="22"/>
        </w:rPr>
        <w:noBreakHyphen/>
      </w:r>
      <w:r w:rsidRPr="009A740B">
        <w:rPr>
          <w:color w:val="auto"/>
          <w:sz w:val="22"/>
        </w:rPr>
        <w:t>RELATED LIABILITY FAIRNESS ACT</w:t>
      </w:r>
    </w:p>
    <w:p w:rsidR="008977B5" w:rsidRDefault="008977B5"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b/>
          <w:color w:val="auto"/>
          <w:sz w:val="22"/>
        </w:rPr>
        <w:t xml:space="preserve">SECTION </w:t>
      </w:r>
      <w:r w:rsidR="00494C03" w:rsidRPr="009A740B">
        <w:rPr>
          <w:b/>
          <w:color w:val="auto"/>
          <w:sz w:val="22"/>
        </w:rPr>
        <w:t>15</w:t>
      </w:r>
      <w:r w:rsidRPr="009A740B">
        <w:rPr>
          <w:b/>
          <w:color w:val="auto"/>
          <w:sz w:val="22"/>
        </w:rPr>
        <w:noBreakHyphen/>
      </w:r>
      <w:r w:rsidR="00494C03" w:rsidRPr="009A740B">
        <w:rPr>
          <w:b/>
          <w:color w:val="auto"/>
          <w:sz w:val="22"/>
        </w:rPr>
        <w:t>81</w:t>
      </w:r>
      <w:r w:rsidRPr="009A740B">
        <w:rPr>
          <w:b/>
          <w:color w:val="auto"/>
          <w:sz w:val="22"/>
        </w:rPr>
        <w:noBreakHyphen/>
      </w:r>
      <w:r w:rsidR="00494C03" w:rsidRPr="009A740B">
        <w:rPr>
          <w:b/>
          <w:color w:val="auto"/>
          <w:sz w:val="22"/>
        </w:rPr>
        <w:t>110.</w:t>
      </w:r>
      <w:r w:rsidR="00494C03" w:rsidRPr="009A740B">
        <w:rPr>
          <w:color w:val="auto"/>
          <w:sz w:val="22"/>
        </w:rPr>
        <w:t xml:space="preserve"> Citation of act. </w:t>
      </w: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40B"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This act may be cited as the </w:t>
      </w:r>
      <w:r w:rsidR="009A740B" w:rsidRPr="009A740B">
        <w:rPr>
          <w:color w:val="auto"/>
          <w:sz w:val="22"/>
        </w:rPr>
        <w:t>“</w:t>
      </w:r>
      <w:r w:rsidRPr="009A740B">
        <w:rPr>
          <w:color w:val="auto"/>
          <w:sz w:val="22"/>
        </w:rPr>
        <w:t>Successor Asbestos</w:t>
      </w:r>
      <w:r w:rsidR="009A740B" w:rsidRPr="009A740B">
        <w:rPr>
          <w:color w:val="auto"/>
          <w:sz w:val="22"/>
        </w:rPr>
        <w:noBreakHyphen/>
      </w:r>
      <w:r w:rsidRPr="009A740B">
        <w:rPr>
          <w:color w:val="auto"/>
          <w:sz w:val="22"/>
        </w:rPr>
        <w:t>Related Liability Fairness Act</w:t>
      </w:r>
      <w:r w:rsidR="009A740B" w:rsidRPr="009A740B">
        <w:rPr>
          <w:color w:val="auto"/>
          <w:sz w:val="22"/>
        </w:rPr>
        <w:t>”</w:t>
      </w:r>
      <w:r w:rsidRPr="009A740B">
        <w:rPr>
          <w:color w:val="auto"/>
          <w:sz w:val="22"/>
        </w:rPr>
        <w:t xml:space="preserve">. </w:t>
      </w:r>
    </w:p>
    <w:p w:rsidR="009A740B" w:rsidRP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b/>
          <w:color w:val="auto"/>
          <w:sz w:val="22"/>
        </w:rPr>
        <w:t xml:space="preserve">SECTION </w:t>
      </w:r>
      <w:r w:rsidR="00494C03" w:rsidRPr="009A740B">
        <w:rPr>
          <w:b/>
          <w:color w:val="auto"/>
          <w:sz w:val="22"/>
        </w:rPr>
        <w:t>15</w:t>
      </w:r>
      <w:r w:rsidRPr="009A740B">
        <w:rPr>
          <w:b/>
          <w:color w:val="auto"/>
          <w:sz w:val="22"/>
        </w:rPr>
        <w:noBreakHyphen/>
      </w:r>
      <w:r w:rsidR="00494C03" w:rsidRPr="009A740B">
        <w:rPr>
          <w:b/>
          <w:color w:val="auto"/>
          <w:sz w:val="22"/>
        </w:rPr>
        <w:t>81</w:t>
      </w:r>
      <w:r w:rsidRPr="009A740B">
        <w:rPr>
          <w:b/>
          <w:color w:val="auto"/>
          <w:sz w:val="22"/>
        </w:rPr>
        <w:noBreakHyphen/>
      </w:r>
      <w:r w:rsidR="00494C03" w:rsidRPr="009A740B">
        <w:rPr>
          <w:b/>
          <w:color w:val="auto"/>
          <w:sz w:val="22"/>
        </w:rPr>
        <w:t>120.</w:t>
      </w:r>
      <w:r w:rsidR="00494C03" w:rsidRPr="009A740B">
        <w:rPr>
          <w:color w:val="auto"/>
          <w:sz w:val="22"/>
        </w:rPr>
        <w:t xml:space="preserve"> Definitions. </w:t>
      </w: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For the purposes of this chapter: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(1) </w:t>
      </w:r>
      <w:r w:rsidR="009A740B" w:rsidRPr="009A740B">
        <w:rPr>
          <w:color w:val="auto"/>
          <w:sz w:val="22"/>
        </w:rPr>
        <w:t>“</w:t>
      </w:r>
      <w:r w:rsidRPr="009A740B">
        <w:rPr>
          <w:color w:val="auto"/>
          <w:sz w:val="22"/>
        </w:rPr>
        <w:t>Asbestos claim</w:t>
      </w:r>
      <w:r w:rsidR="009A740B" w:rsidRPr="009A740B">
        <w:rPr>
          <w:color w:val="auto"/>
          <w:sz w:val="22"/>
        </w:rPr>
        <w:t>”</w:t>
      </w:r>
      <w:r w:rsidRPr="009A740B">
        <w:rPr>
          <w:color w:val="auto"/>
          <w:sz w:val="22"/>
        </w:rPr>
        <w:t xml:space="preserve"> means a claim for damages, losses, indemnification, contribution, or other relief arising out of, based on, or related to asbestos, including: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(a) the health effects of exposure to asbestos, including a claim for: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(i) personal injury or death;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(ii) mental or emotional injury;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(iii) risk of disease or other injury;  or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(iv) the costs of medical monitoring or surveillance to the extent these claims are recognized pursuant to state law;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(b) a claim made by or on behalf of a person exposed to asbestos, or a representative, spouse, parent, child, or other relative of the person;  and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(c) a claim for damage or loss caused by the installation, presence, or removal of asbestos.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(2) </w:t>
      </w:r>
      <w:r w:rsidR="009A740B" w:rsidRPr="009A740B">
        <w:rPr>
          <w:color w:val="auto"/>
          <w:sz w:val="22"/>
        </w:rPr>
        <w:t>“</w:t>
      </w:r>
      <w:r w:rsidRPr="009A740B">
        <w:rPr>
          <w:color w:val="auto"/>
          <w:sz w:val="22"/>
        </w:rPr>
        <w:t>Corporation</w:t>
      </w:r>
      <w:r w:rsidR="009A740B" w:rsidRPr="009A740B">
        <w:rPr>
          <w:color w:val="auto"/>
          <w:sz w:val="22"/>
        </w:rPr>
        <w:t>”</w:t>
      </w:r>
      <w:r w:rsidRPr="009A740B">
        <w:rPr>
          <w:color w:val="auto"/>
          <w:sz w:val="22"/>
        </w:rPr>
        <w:t xml:space="preserve"> means a corporation for profit, including a domestic corporation organized pursuant to the laws of this State, or a foreign corporation organized pursuant to laws other than the laws of this State.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(3) </w:t>
      </w:r>
      <w:r w:rsidR="009A740B" w:rsidRPr="009A740B">
        <w:rPr>
          <w:color w:val="auto"/>
          <w:sz w:val="22"/>
        </w:rPr>
        <w:t>“</w:t>
      </w:r>
      <w:r w:rsidRPr="009A740B">
        <w:rPr>
          <w:color w:val="auto"/>
          <w:sz w:val="22"/>
        </w:rPr>
        <w:t>Successor</w:t>
      </w:r>
      <w:r w:rsidR="009A740B" w:rsidRPr="009A740B">
        <w:rPr>
          <w:color w:val="auto"/>
          <w:sz w:val="22"/>
        </w:rPr>
        <w:t>”</w:t>
      </w:r>
      <w:r w:rsidRPr="009A740B">
        <w:rPr>
          <w:color w:val="auto"/>
          <w:sz w:val="22"/>
        </w:rPr>
        <w:t xml:space="preserve"> means a corporation that assumes or incurs or has assumed or incurred successor asbestos</w:t>
      </w:r>
      <w:r w:rsidR="009A740B" w:rsidRPr="009A740B">
        <w:rPr>
          <w:color w:val="auto"/>
          <w:sz w:val="22"/>
        </w:rPr>
        <w:noBreakHyphen/>
      </w:r>
      <w:r w:rsidRPr="009A740B">
        <w:rPr>
          <w:color w:val="auto"/>
          <w:sz w:val="22"/>
        </w:rPr>
        <w:t xml:space="preserve">related liabilities.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(4) </w:t>
      </w:r>
      <w:r w:rsidR="009A740B" w:rsidRPr="009A740B">
        <w:rPr>
          <w:color w:val="auto"/>
          <w:sz w:val="22"/>
        </w:rPr>
        <w:t>“</w:t>
      </w:r>
      <w:r w:rsidRPr="009A740B">
        <w:rPr>
          <w:color w:val="auto"/>
          <w:sz w:val="22"/>
        </w:rPr>
        <w:t>Successor asbestos</w:t>
      </w:r>
      <w:r w:rsidR="009A740B" w:rsidRPr="009A740B">
        <w:rPr>
          <w:color w:val="auto"/>
          <w:sz w:val="22"/>
        </w:rPr>
        <w:noBreakHyphen/>
      </w:r>
      <w:r w:rsidRPr="009A740B">
        <w:rPr>
          <w:color w:val="auto"/>
          <w:sz w:val="22"/>
        </w:rPr>
        <w:t>related liabilities</w:t>
      </w:r>
      <w:r w:rsidR="009A740B" w:rsidRPr="009A740B">
        <w:rPr>
          <w:color w:val="auto"/>
          <w:sz w:val="22"/>
        </w:rPr>
        <w:t>”</w:t>
      </w:r>
      <w:r w:rsidRPr="009A740B">
        <w:rPr>
          <w:color w:val="auto"/>
          <w:sz w:val="22"/>
        </w:rPr>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9A740B" w:rsidRPr="009A740B">
        <w:rPr>
          <w:color w:val="auto"/>
          <w:sz w:val="22"/>
        </w:rPr>
        <w:noBreakHyphen/>
      </w:r>
      <w:r w:rsidRPr="009A740B">
        <w:rPr>
          <w:color w:val="auto"/>
          <w:sz w:val="22"/>
        </w:rPr>
        <w:t>81</w:t>
      </w:r>
      <w:r w:rsidR="009A740B" w:rsidRPr="009A740B">
        <w:rPr>
          <w:color w:val="auto"/>
          <w:sz w:val="22"/>
        </w:rPr>
        <w:noBreakHyphen/>
      </w:r>
      <w:r w:rsidRPr="009A740B">
        <w:rPr>
          <w:color w:val="auto"/>
          <w:sz w:val="22"/>
        </w:rPr>
        <w:t xml:space="preserve">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 </w:t>
      </w:r>
    </w:p>
    <w:p w:rsidR="009A740B"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(5) </w:t>
      </w:r>
      <w:r w:rsidR="009A740B" w:rsidRPr="009A740B">
        <w:rPr>
          <w:color w:val="auto"/>
          <w:sz w:val="22"/>
        </w:rPr>
        <w:t>“</w:t>
      </w:r>
      <w:r w:rsidRPr="009A740B">
        <w:rPr>
          <w:color w:val="auto"/>
          <w:sz w:val="22"/>
        </w:rPr>
        <w:t>Transferor</w:t>
      </w:r>
      <w:r w:rsidR="009A740B" w:rsidRPr="009A740B">
        <w:rPr>
          <w:color w:val="auto"/>
          <w:sz w:val="22"/>
        </w:rPr>
        <w:t>”</w:t>
      </w:r>
      <w:r w:rsidRPr="009A740B">
        <w:rPr>
          <w:color w:val="auto"/>
          <w:sz w:val="22"/>
        </w:rPr>
        <w:t xml:space="preserve"> means a corporation from which successor asbestos</w:t>
      </w:r>
      <w:r w:rsidR="009A740B" w:rsidRPr="009A740B">
        <w:rPr>
          <w:color w:val="auto"/>
          <w:sz w:val="22"/>
        </w:rPr>
        <w:noBreakHyphen/>
      </w:r>
      <w:r w:rsidRPr="009A740B">
        <w:rPr>
          <w:color w:val="auto"/>
          <w:sz w:val="22"/>
        </w:rPr>
        <w:t xml:space="preserve">related liabilities are or were assumed or incurred. </w:t>
      </w:r>
    </w:p>
    <w:p w:rsidR="009A740B" w:rsidRP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b/>
          <w:color w:val="auto"/>
          <w:sz w:val="22"/>
        </w:rPr>
        <w:t xml:space="preserve">SECTION </w:t>
      </w:r>
      <w:r w:rsidR="00494C03" w:rsidRPr="009A740B">
        <w:rPr>
          <w:b/>
          <w:color w:val="auto"/>
          <w:sz w:val="22"/>
        </w:rPr>
        <w:t>15</w:t>
      </w:r>
      <w:r w:rsidRPr="009A740B">
        <w:rPr>
          <w:b/>
          <w:color w:val="auto"/>
          <w:sz w:val="22"/>
        </w:rPr>
        <w:noBreakHyphen/>
      </w:r>
      <w:r w:rsidR="00494C03" w:rsidRPr="009A740B">
        <w:rPr>
          <w:b/>
          <w:color w:val="auto"/>
          <w:sz w:val="22"/>
        </w:rPr>
        <w:t>81</w:t>
      </w:r>
      <w:r w:rsidRPr="009A740B">
        <w:rPr>
          <w:b/>
          <w:color w:val="auto"/>
          <w:sz w:val="22"/>
        </w:rPr>
        <w:noBreakHyphen/>
      </w:r>
      <w:r w:rsidR="00494C03" w:rsidRPr="009A740B">
        <w:rPr>
          <w:b/>
          <w:color w:val="auto"/>
          <w:sz w:val="22"/>
        </w:rPr>
        <w:t>130.</w:t>
      </w:r>
      <w:r w:rsidR="00494C03" w:rsidRPr="009A740B">
        <w:rPr>
          <w:color w:val="auto"/>
          <w:sz w:val="22"/>
        </w:rPr>
        <w:t xml:space="preserve"> Applicability of limitations granted successor. </w:t>
      </w: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(A) The limitations of Section 15</w:t>
      </w:r>
      <w:r w:rsidR="009A740B" w:rsidRPr="009A740B">
        <w:rPr>
          <w:color w:val="auto"/>
          <w:sz w:val="22"/>
        </w:rPr>
        <w:noBreakHyphen/>
      </w:r>
      <w:r w:rsidRPr="009A740B">
        <w:rPr>
          <w:color w:val="auto"/>
          <w:sz w:val="22"/>
        </w:rPr>
        <w:t>81</w:t>
      </w:r>
      <w:r w:rsidR="009A740B" w:rsidRPr="009A740B">
        <w:rPr>
          <w:color w:val="auto"/>
          <w:sz w:val="22"/>
        </w:rPr>
        <w:noBreakHyphen/>
      </w:r>
      <w:r w:rsidRPr="009A740B">
        <w:rPr>
          <w:color w:val="auto"/>
          <w:sz w:val="22"/>
        </w:rPr>
        <w:t>140 apply to a corporation that is a successor and became a successor before January 1, 1972, or is a successor of that corporation</w:t>
      </w:r>
      <w:r w:rsidR="009A740B" w:rsidRPr="009A740B">
        <w:rPr>
          <w:color w:val="auto"/>
          <w:sz w:val="22"/>
        </w:rPr>
        <w:t>’</w:t>
      </w:r>
      <w:r w:rsidRPr="009A740B">
        <w:rPr>
          <w:color w:val="auto"/>
          <w:sz w:val="22"/>
        </w:rPr>
        <w:t xml:space="preserve">s successors.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(B) The limitations of Section 15</w:t>
      </w:r>
      <w:r w:rsidR="009A740B" w:rsidRPr="009A740B">
        <w:rPr>
          <w:color w:val="auto"/>
          <w:sz w:val="22"/>
        </w:rPr>
        <w:noBreakHyphen/>
      </w:r>
      <w:r w:rsidRPr="009A740B">
        <w:rPr>
          <w:color w:val="auto"/>
          <w:sz w:val="22"/>
        </w:rPr>
        <w:t>81</w:t>
      </w:r>
      <w:r w:rsidR="009A740B" w:rsidRPr="009A740B">
        <w:rPr>
          <w:color w:val="auto"/>
          <w:sz w:val="22"/>
        </w:rPr>
        <w:noBreakHyphen/>
      </w:r>
      <w:r w:rsidRPr="009A740B">
        <w:rPr>
          <w:color w:val="auto"/>
          <w:sz w:val="22"/>
        </w:rPr>
        <w:t xml:space="preserve">140 do not apply to: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(1) workers</w:t>
      </w:r>
      <w:r w:rsidR="009A740B" w:rsidRPr="009A740B">
        <w:rPr>
          <w:color w:val="auto"/>
          <w:sz w:val="22"/>
        </w:rPr>
        <w:t>’</w:t>
      </w:r>
      <w:r w:rsidRPr="009A740B">
        <w:rPr>
          <w:color w:val="auto"/>
          <w:sz w:val="22"/>
        </w:rPr>
        <w:t xml:space="preserve"> compensation benefits paid by or on behalf of an employer to an employee pursuant to Title 42, or a comparable workers</w:t>
      </w:r>
      <w:r w:rsidR="009A740B" w:rsidRPr="009A740B">
        <w:rPr>
          <w:color w:val="auto"/>
          <w:sz w:val="22"/>
        </w:rPr>
        <w:t>’</w:t>
      </w:r>
      <w:r w:rsidRPr="009A740B">
        <w:rPr>
          <w:color w:val="auto"/>
          <w:sz w:val="22"/>
        </w:rPr>
        <w:t xml:space="preserve"> compensation law of another jurisdiction;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(2) a claim against a corporation that does not constitute a successor asbestos</w:t>
      </w:r>
      <w:r w:rsidR="009A740B" w:rsidRPr="009A740B">
        <w:rPr>
          <w:color w:val="auto"/>
          <w:sz w:val="22"/>
        </w:rPr>
        <w:noBreakHyphen/>
      </w:r>
      <w:r w:rsidRPr="009A740B">
        <w:rPr>
          <w:color w:val="auto"/>
          <w:sz w:val="22"/>
        </w:rPr>
        <w:t xml:space="preserve">related liability;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(3) an insurance company, as defined in Chapter 1, Title 38;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(4) an obligation pursuant to the National Labor Relations Act, as amended, or pursuant to a collective bargaining agreement;  or </w:t>
      </w:r>
    </w:p>
    <w:p w:rsidR="009A740B"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lastRenderedPageBreak/>
        <w:t>(5) a successor that after a merger or consolidation continued in the business of mining asbestos, in the business of selling or distributing asbestos fibers, or in the business of manufacturing, distributing, removing, or installing asbestos</w:t>
      </w:r>
      <w:r w:rsidR="009A740B" w:rsidRPr="009A740B">
        <w:rPr>
          <w:color w:val="auto"/>
          <w:sz w:val="22"/>
        </w:rPr>
        <w:noBreakHyphen/>
      </w:r>
      <w:r w:rsidRPr="009A740B">
        <w:rPr>
          <w:color w:val="auto"/>
          <w:sz w:val="22"/>
        </w:rPr>
        <w:t xml:space="preserve">containing products that were the same or substantially the same as those products previously manufactured, distributed, removed, or installed by the transferor. </w:t>
      </w:r>
    </w:p>
    <w:p w:rsidR="009A740B" w:rsidRP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b/>
          <w:color w:val="auto"/>
          <w:sz w:val="22"/>
        </w:rPr>
        <w:t xml:space="preserve">SECTION </w:t>
      </w:r>
      <w:r w:rsidR="00494C03" w:rsidRPr="009A740B">
        <w:rPr>
          <w:b/>
          <w:color w:val="auto"/>
          <w:sz w:val="22"/>
        </w:rPr>
        <w:t>15</w:t>
      </w:r>
      <w:r w:rsidRPr="009A740B">
        <w:rPr>
          <w:b/>
          <w:color w:val="auto"/>
          <w:sz w:val="22"/>
        </w:rPr>
        <w:noBreakHyphen/>
      </w:r>
      <w:r w:rsidR="00494C03" w:rsidRPr="009A740B">
        <w:rPr>
          <w:b/>
          <w:color w:val="auto"/>
          <w:sz w:val="22"/>
        </w:rPr>
        <w:t>81</w:t>
      </w:r>
      <w:r w:rsidRPr="009A740B">
        <w:rPr>
          <w:b/>
          <w:color w:val="auto"/>
          <w:sz w:val="22"/>
        </w:rPr>
        <w:noBreakHyphen/>
      </w:r>
      <w:r w:rsidR="00494C03" w:rsidRPr="009A740B">
        <w:rPr>
          <w:b/>
          <w:color w:val="auto"/>
          <w:sz w:val="22"/>
        </w:rPr>
        <w:t>140.</w:t>
      </w:r>
      <w:r w:rsidR="00494C03" w:rsidRPr="009A740B">
        <w:rPr>
          <w:color w:val="auto"/>
          <w:sz w:val="22"/>
        </w:rPr>
        <w:t xml:space="preserve"> Limitation of cumulative successor asbestos</w:t>
      </w:r>
      <w:r w:rsidRPr="009A740B">
        <w:rPr>
          <w:color w:val="auto"/>
          <w:sz w:val="22"/>
        </w:rPr>
        <w:noBreakHyphen/>
      </w:r>
      <w:r w:rsidR="00494C03" w:rsidRPr="009A740B">
        <w:rPr>
          <w:color w:val="auto"/>
          <w:sz w:val="22"/>
        </w:rPr>
        <w:t xml:space="preserve">related liabilities of corporation. </w:t>
      </w: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(A) Except as further limited in subsection (B), the cumulative successor asbestos</w:t>
      </w:r>
      <w:r w:rsidR="009A740B" w:rsidRPr="009A740B">
        <w:rPr>
          <w:color w:val="auto"/>
          <w:sz w:val="22"/>
        </w:rPr>
        <w:noBreakHyphen/>
      </w:r>
      <w:r w:rsidRPr="009A740B">
        <w:rPr>
          <w:color w:val="auto"/>
          <w:sz w:val="22"/>
        </w:rPr>
        <w:t>related liabilities of a corporation are limited to the fair market value of the total gross assets of the transferor determined as of the time of the merger or consolidation.  The corporation is not responsible for successor asbestos</w:t>
      </w:r>
      <w:r w:rsidR="009A740B" w:rsidRPr="009A740B">
        <w:rPr>
          <w:color w:val="auto"/>
          <w:sz w:val="22"/>
        </w:rPr>
        <w:noBreakHyphen/>
      </w:r>
      <w:r w:rsidRPr="009A740B">
        <w:rPr>
          <w:color w:val="auto"/>
          <w:sz w:val="22"/>
        </w:rPr>
        <w:t xml:space="preserve">related liabilities in excess of this limitation. </w:t>
      </w:r>
    </w:p>
    <w:p w:rsidR="009A740B"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(B) If the transferor assumed or incurred successor asbestos</w:t>
      </w:r>
      <w:r w:rsidR="009A740B" w:rsidRPr="009A740B">
        <w:rPr>
          <w:color w:val="auto"/>
          <w:sz w:val="22"/>
        </w:rPr>
        <w:noBreakHyphen/>
      </w:r>
      <w:r w:rsidRPr="009A740B">
        <w:rPr>
          <w:color w:val="auto"/>
          <w:sz w:val="22"/>
        </w:rPr>
        <w:t xml:space="preserve">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 </w:t>
      </w:r>
    </w:p>
    <w:p w:rsidR="009A740B" w:rsidRP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b/>
          <w:color w:val="auto"/>
          <w:sz w:val="22"/>
        </w:rPr>
        <w:t xml:space="preserve">SECTION </w:t>
      </w:r>
      <w:r w:rsidR="00494C03" w:rsidRPr="009A740B">
        <w:rPr>
          <w:b/>
          <w:color w:val="auto"/>
          <w:sz w:val="22"/>
        </w:rPr>
        <w:t>15</w:t>
      </w:r>
      <w:r w:rsidRPr="009A740B">
        <w:rPr>
          <w:b/>
          <w:color w:val="auto"/>
          <w:sz w:val="22"/>
        </w:rPr>
        <w:noBreakHyphen/>
      </w:r>
      <w:r w:rsidR="00494C03" w:rsidRPr="009A740B">
        <w:rPr>
          <w:b/>
          <w:color w:val="auto"/>
          <w:sz w:val="22"/>
        </w:rPr>
        <w:t>81</w:t>
      </w:r>
      <w:r w:rsidRPr="009A740B">
        <w:rPr>
          <w:b/>
          <w:color w:val="auto"/>
          <w:sz w:val="22"/>
        </w:rPr>
        <w:noBreakHyphen/>
      </w:r>
      <w:r w:rsidR="00494C03" w:rsidRPr="009A740B">
        <w:rPr>
          <w:b/>
          <w:color w:val="auto"/>
          <w:sz w:val="22"/>
        </w:rPr>
        <w:t>150.</w:t>
      </w:r>
      <w:r w:rsidR="00494C03" w:rsidRPr="009A740B">
        <w:rPr>
          <w:color w:val="auto"/>
          <w:sz w:val="22"/>
        </w:rPr>
        <w:t xml:space="preserve"> Establishing fair market value of total gross assets. </w:t>
      </w: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(A) A corporation may establish the fair market value of total gross assets for the purpose of the limitations pursuant to Section 15</w:t>
      </w:r>
      <w:r w:rsidR="009A740B" w:rsidRPr="009A740B">
        <w:rPr>
          <w:color w:val="auto"/>
          <w:sz w:val="22"/>
        </w:rPr>
        <w:noBreakHyphen/>
      </w:r>
      <w:r w:rsidRPr="009A740B">
        <w:rPr>
          <w:color w:val="auto"/>
          <w:sz w:val="22"/>
        </w:rPr>
        <w:t>81</w:t>
      </w:r>
      <w:r w:rsidR="009A740B" w:rsidRPr="009A740B">
        <w:rPr>
          <w:color w:val="auto"/>
          <w:sz w:val="22"/>
        </w:rPr>
        <w:noBreakHyphen/>
      </w:r>
      <w:r w:rsidRPr="009A740B">
        <w:rPr>
          <w:color w:val="auto"/>
          <w:sz w:val="22"/>
        </w:rPr>
        <w:t xml:space="preserve">140 through a method reasonable under the circumstances, including: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(1) by reference to the going concern value of the assets or to the purchase price attributable to or paid for the assets in an arm</w:t>
      </w:r>
      <w:r w:rsidR="009A740B" w:rsidRPr="009A740B">
        <w:rPr>
          <w:color w:val="auto"/>
          <w:sz w:val="22"/>
        </w:rPr>
        <w:t>’</w:t>
      </w:r>
      <w:r w:rsidRPr="009A740B">
        <w:rPr>
          <w:color w:val="auto"/>
          <w:sz w:val="22"/>
        </w:rPr>
        <w:t>s</w:t>
      </w:r>
      <w:r w:rsidR="009A740B" w:rsidRPr="009A740B">
        <w:rPr>
          <w:color w:val="auto"/>
          <w:sz w:val="22"/>
        </w:rPr>
        <w:noBreakHyphen/>
      </w:r>
      <w:r w:rsidRPr="009A740B">
        <w:rPr>
          <w:color w:val="auto"/>
          <w:sz w:val="22"/>
        </w:rPr>
        <w:t xml:space="preserve">length transaction;  or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(2) in the absence of other readily available information from which fair market value can be determined, by reference to the value of the assets recorded on a balance sheet.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(B) Total gross assets include intangible assets. </w:t>
      </w:r>
    </w:p>
    <w:p w:rsidR="009A740B"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9A740B" w:rsidRPr="009A740B">
        <w:rPr>
          <w:color w:val="auto"/>
          <w:sz w:val="22"/>
        </w:rPr>
        <w:noBreakHyphen/>
      </w:r>
      <w:r w:rsidRPr="009A740B">
        <w:rPr>
          <w:color w:val="auto"/>
          <w:sz w:val="22"/>
        </w:rPr>
        <w:t>related liabilities except compensation for liabilities arising from a worker</w:t>
      </w:r>
      <w:r w:rsidR="009A740B" w:rsidRPr="009A740B">
        <w:rPr>
          <w:color w:val="auto"/>
          <w:sz w:val="22"/>
        </w:rPr>
        <w:t>’</w:t>
      </w:r>
      <w:r w:rsidRPr="009A740B">
        <w:rPr>
          <w:color w:val="auto"/>
          <w:sz w:val="22"/>
        </w:rPr>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9A740B" w:rsidRPr="009A740B">
        <w:rPr>
          <w:color w:val="auto"/>
          <w:sz w:val="22"/>
        </w:rPr>
        <w:t>’</w:t>
      </w:r>
      <w:r w:rsidRPr="009A740B">
        <w:rPr>
          <w:color w:val="auto"/>
          <w:sz w:val="22"/>
        </w:rPr>
        <w:t xml:space="preserve">s total gross assets. </w:t>
      </w:r>
    </w:p>
    <w:p w:rsidR="009A740B" w:rsidRP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b/>
          <w:color w:val="auto"/>
          <w:sz w:val="22"/>
        </w:rPr>
        <w:t xml:space="preserve">SECTION </w:t>
      </w:r>
      <w:r w:rsidR="00494C03" w:rsidRPr="009A740B">
        <w:rPr>
          <w:b/>
          <w:color w:val="auto"/>
          <w:sz w:val="22"/>
        </w:rPr>
        <w:t>15</w:t>
      </w:r>
      <w:r w:rsidRPr="009A740B">
        <w:rPr>
          <w:b/>
          <w:color w:val="auto"/>
          <w:sz w:val="22"/>
        </w:rPr>
        <w:noBreakHyphen/>
      </w:r>
      <w:r w:rsidR="00494C03" w:rsidRPr="009A740B">
        <w:rPr>
          <w:b/>
          <w:color w:val="auto"/>
          <w:sz w:val="22"/>
        </w:rPr>
        <w:t>81</w:t>
      </w:r>
      <w:r w:rsidRPr="009A740B">
        <w:rPr>
          <w:b/>
          <w:color w:val="auto"/>
          <w:sz w:val="22"/>
        </w:rPr>
        <w:noBreakHyphen/>
      </w:r>
      <w:r w:rsidR="00494C03" w:rsidRPr="009A740B">
        <w:rPr>
          <w:b/>
          <w:color w:val="auto"/>
          <w:sz w:val="22"/>
        </w:rPr>
        <w:t>160.</w:t>
      </w:r>
      <w:r w:rsidR="00494C03" w:rsidRPr="009A740B">
        <w:rPr>
          <w:color w:val="auto"/>
          <w:sz w:val="22"/>
        </w:rPr>
        <w:t xml:space="preserve"> Annual rate of adjustment of fair market value. </w:t>
      </w:r>
    </w:p>
    <w:p w:rsid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(A) Except as provided in subsections (B), (C), and (D), the fair market value of total gross assets at the time of a merger or consolidation will increase annually at a rate equal to the sum of: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(2) one percent.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 xml:space="preserve">(B) The rate provided in subsection (A) may not be compounded. </w:t>
      </w:r>
    </w:p>
    <w:p w:rsidR="0053718E"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(C) The adjustment of fair market value of total gross assets continues as provided pursuant to the provisions of subsection (A) until the date the adjusted value is first exceeded by the cumulative amounts of successor asbestos</w:t>
      </w:r>
      <w:r w:rsidR="009A740B" w:rsidRPr="009A740B">
        <w:rPr>
          <w:color w:val="auto"/>
          <w:sz w:val="22"/>
        </w:rPr>
        <w:noBreakHyphen/>
      </w:r>
      <w:r w:rsidRPr="009A740B">
        <w:rPr>
          <w:color w:val="auto"/>
          <w:sz w:val="22"/>
        </w:rPr>
        <w:t xml:space="preserve">related liabilities paid or committed to be paid by or on behalf of the corporation or a predecessor, or by or on behalf of a transferor, after the time of the merger or consolidation for which the fair market value of total gross assets is determined. </w:t>
      </w:r>
    </w:p>
    <w:p w:rsidR="009A740B" w:rsidRPr="009A740B" w:rsidRDefault="00494C03"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A740B">
        <w:rPr>
          <w:color w:val="auto"/>
          <w:sz w:val="22"/>
        </w:rPr>
        <w:t>(D) No adjustment of the fair market value of total gross assets may be applied to liability insurance otherwise included in the definition of total gross assets by Section 15</w:t>
      </w:r>
      <w:r w:rsidR="009A740B" w:rsidRPr="009A740B">
        <w:rPr>
          <w:color w:val="auto"/>
          <w:sz w:val="22"/>
        </w:rPr>
        <w:noBreakHyphen/>
      </w:r>
      <w:r w:rsidRPr="009A740B">
        <w:rPr>
          <w:color w:val="auto"/>
          <w:sz w:val="22"/>
        </w:rPr>
        <w:t>81</w:t>
      </w:r>
      <w:r w:rsidR="009A740B" w:rsidRPr="009A740B">
        <w:rPr>
          <w:color w:val="auto"/>
          <w:sz w:val="22"/>
        </w:rPr>
        <w:noBreakHyphen/>
      </w:r>
      <w:r w:rsidRPr="009A740B">
        <w:rPr>
          <w:color w:val="auto"/>
          <w:sz w:val="22"/>
        </w:rPr>
        <w:t xml:space="preserve">150(C). </w:t>
      </w:r>
    </w:p>
    <w:p w:rsidR="009A740B" w:rsidRPr="009A740B" w:rsidRDefault="009A740B" w:rsidP="009A7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A740B" w:rsidRPr="009A740B" w:rsidSect="009A74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18E" w:rsidRDefault="00494C03">
      <w:pPr>
        <w:spacing w:after="0"/>
      </w:pPr>
      <w:r>
        <w:separator/>
      </w:r>
    </w:p>
  </w:endnote>
  <w:endnote w:type="continuationSeparator" w:id="0">
    <w:p w:rsidR="0053718E" w:rsidRDefault="00494C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40B" w:rsidRPr="009A740B" w:rsidRDefault="009A740B" w:rsidP="009A74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8E" w:rsidRPr="009A740B" w:rsidRDefault="0053718E" w:rsidP="009A74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40B" w:rsidRPr="009A740B" w:rsidRDefault="009A740B" w:rsidP="009A7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18E" w:rsidRDefault="00494C03">
      <w:pPr>
        <w:spacing w:after="0"/>
      </w:pPr>
      <w:r>
        <w:separator/>
      </w:r>
    </w:p>
  </w:footnote>
  <w:footnote w:type="continuationSeparator" w:id="0">
    <w:p w:rsidR="0053718E" w:rsidRDefault="00494C0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40B" w:rsidRPr="009A740B" w:rsidRDefault="009A740B" w:rsidP="009A74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40B" w:rsidRPr="009A740B" w:rsidRDefault="009A740B" w:rsidP="009A74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40B" w:rsidRPr="009A740B" w:rsidRDefault="009A740B" w:rsidP="009A74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35B6"/>
    <w:rsid w:val="002235B6"/>
    <w:rsid w:val="00295E5B"/>
    <w:rsid w:val="00494C03"/>
    <w:rsid w:val="0053718E"/>
    <w:rsid w:val="008977B5"/>
    <w:rsid w:val="0097598E"/>
    <w:rsid w:val="009A740B"/>
    <w:rsid w:val="00BC7B0B"/>
    <w:rsid w:val="00ED1BFD"/>
    <w:rsid w:val="00F17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18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740B"/>
    <w:pPr>
      <w:tabs>
        <w:tab w:val="center" w:pos="4680"/>
        <w:tab w:val="right" w:pos="9360"/>
      </w:tabs>
    </w:pPr>
  </w:style>
  <w:style w:type="character" w:customStyle="1" w:styleId="HeaderChar">
    <w:name w:val="Header Char"/>
    <w:basedOn w:val="DefaultParagraphFont"/>
    <w:link w:val="Header"/>
    <w:uiPriority w:val="99"/>
    <w:semiHidden/>
    <w:rsid w:val="009A740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A740B"/>
    <w:pPr>
      <w:tabs>
        <w:tab w:val="center" w:pos="4680"/>
        <w:tab w:val="right" w:pos="9360"/>
      </w:tabs>
    </w:pPr>
  </w:style>
  <w:style w:type="character" w:customStyle="1" w:styleId="FooterChar">
    <w:name w:val="Footer Char"/>
    <w:basedOn w:val="DefaultParagraphFont"/>
    <w:link w:val="Footer"/>
    <w:uiPriority w:val="99"/>
    <w:semiHidden/>
    <w:rsid w:val="009A740B"/>
    <w:rPr>
      <w:rFonts w:ascii="Times New Roman" w:hAnsi="Times New Roman" w:cs="Times New Roman"/>
      <w:color w:val="000000"/>
      <w:sz w:val="24"/>
      <w:szCs w:val="24"/>
    </w:rPr>
  </w:style>
  <w:style w:type="character" w:styleId="FootnoteReference">
    <w:name w:val="footnote reference"/>
    <w:basedOn w:val="DefaultParagraphFont"/>
    <w:uiPriority w:val="99"/>
    <w:rsid w:val="0053718E"/>
    <w:rPr>
      <w:color w:val="0000FF"/>
      <w:position w:val="6"/>
      <w:sz w:val="20"/>
      <w:szCs w:val="20"/>
    </w:rPr>
  </w:style>
  <w:style w:type="character" w:styleId="Hyperlink">
    <w:name w:val="Hyperlink"/>
    <w:basedOn w:val="DefaultParagraphFont"/>
    <w:semiHidden/>
    <w:rsid w:val="008977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7832</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2011-01-12T17:25:00Z</dcterms:created>
  <dcterms:modified xsi:type="dcterms:W3CDTF">2011-01-14T17:35:00Z</dcterms:modified>
</cp:coreProperties>
</file>