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7FDC">
        <w:t>CHAPTER 38</w:t>
      </w:r>
    </w:p>
    <w:p w:rsidR="002C7FDC" w:rsidRP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7FDC">
        <w:t>South Carolina Contribution Among Tortfeasors Act</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10.</w:t>
      </w:r>
      <w:r w:rsidR="00DB1310" w:rsidRPr="002C7FDC">
        <w:t xml:space="preserve"> Short title.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This chapter may be cited as the Uniform Contribution Among Tortfeasors Act.</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15.</w:t>
      </w:r>
      <w:r w:rsidR="00DB1310" w:rsidRPr="002C7FDC">
        <w:t xml:space="preserve"> Liability of defendant responsible for less than fifty per cent of total fault; apportionment of percentages; willful, wanton, or grossly negligent defendant and alcoholic beverage or drug exceptions.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(B) Apportionment of percentages of fault among defendants is to be determined as specified in subsection (C).</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(C) The jury, or the court if there is no jury, shall:</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t>(1) specify the amount of damages;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t>(2) determine the percentage of fault, if any, of plaintiff and the amount of recoverable damages under applicable rules concerning "comparative negligence"; and</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r>
      <w:r w:rsidRPr="002C7FDC">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r>
      <w:r w:rsidRPr="002C7FDC">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(D) A defendant shall retain the right to assert that another potential tortfeasor, whether or not a party, contributed to the alleged injury or damages and/or may be liable for any or all of the damages alleged by any other party.</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(E) Notwithstanding the application of this section, setoff from any settlement received from any potential tortfeasor prior to the verdict shall be applied in proportion to each defendant's percentage of liability as determined pursuant to subsection (C).</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310" w:rsidRPr="002C7FDC">
        <w:t xml:space="preserve">: 2005 Act No. 27, </w:t>
      </w:r>
      <w:r w:rsidRPr="002C7FDC">
        <w:t xml:space="preserve">Section </w:t>
      </w:r>
      <w:r w:rsidR="00DB1310" w:rsidRPr="002C7FDC">
        <w:t xml:space="preserve">6, eff July 1, 2005; 2005 Act No. 32, </w:t>
      </w:r>
      <w:r w:rsidRPr="002C7FDC">
        <w:t xml:space="preserve">Section </w:t>
      </w:r>
      <w:r w:rsidR="00DB1310" w:rsidRPr="002C7FDC">
        <w:t>16, eff July 1, 2005.</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Editor's Note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 xml:space="preserve">2005 Act No. 27, </w:t>
      </w:r>
      <w:r w:rsidR="002C7FDC" w:rsidRPr="002C7FDC">
        <w:t xml:space="preserve">Section </w:t>
      </w:r>
      <w:r w:rsidRPr="002C7FDC">
        <w:t>11, provides as follows: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 xml:space="preserve">2005 Act No. 27, </w:t>
      </w:r>
      <w:r w:rsidR="002C7FDC" w:rsidRPr="002C7FDC">
        <w:t xml:space="preserve">Section </w:t>
      </w:r>
      <w:r w:rsidRPr="002C7FDC">
        <w:t>16(4), provides as follows: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 xml:space="preserve">2005 Act No. 32, </w:t>
      </w:r>
      <w:r w:rsidR="002C7FDC" w:rsidRPr="002C7FDC">
        <w:t xml:space="preserve">Section </w:t>
      </w:r>
      <w:r w:rsidRPr="002C7FDC">
        <w:t>17, provides as follows: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 xml:space="preserve">2005 Act No. 32, </w:t>
      </w:r>
      <w:r w:rsidR="002C7FDC" w:rsidRPr="002C7FDC">
        <w:t xml:space="preserve">Section </w:t>
      </w:r>
      <w:r w:rsidRPr="002C7FDC">
        <w:t>21(A), provides as follows: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Effect of Amendment</w:t>
      </w:r>
    </w:p>
    <w:p w:rsidR="002C7FDC" w:rsidRP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C7FDC">
        <w:t>The 2005 amendment, in subsection (B)(3), added the last sentence; in subsection (F), added "or the illegal or illicit use, sale, or possession of" preceding "drugs".</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20.</w:t>
      </w:r>
      <w:r w:rsidR="00DB1310" w:rsidRPr="002C7FDC">
        <w:t xml:space="preserve"> Right of contribution.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 xml:space="preserve">(B) The right of contribution exists only in favor of a tortfeasor who has paid more than his pro rata share of the common liability, and his total recovery is limited to the amount paid by him in excess of </w:t>
      </w:r>
      <w:r w:rsidRPr="002C7FDC">
        <w:lastRenderedPageBreak/>
        <w:t>his pro rata share. No tortfeasor is compelled to make contribution beyond his own pro rata share of the entire liability.</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(C) There is no right of contribution in favor of any tortfeasor who has intentionally caused or contributed to the injury or wrongful death.</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 xml:space="preserve">(F) This chapter does not impair any right of indemnity under existing law. Where one tortfeasor is entitled to indemnity from another, the right of the indemnity obligee is for indemnity and not contribution, </w:t>
      </w:r>
      <w:r w:rsidRPr="002C7FDC">
        <w:lastRenderedPageBreak/>
        <w:t>and the indemnity obligor is not entitled to contribution from the obligee for any portion of his indemnity obligation.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(G) This chapter does not apply to breaches of trust or of other fiduciary obligation.</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30.</w:t>
      </w:r>
      <w:r w:rsidR="00DB1310" w:rsidRPr="002C7FDC">
        <w:t xml:space="preserve"> Factors determining pro rata liability of tortfeasors.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40.</w:t>
      </w:r>
      <w:r w:rsidR="00DB1310" w:rsidRPr="002C7FDC">
        <w:t xml:space="preserve"> Action for contribution.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(A) Whether or not judgment has been entered in an action against two or more tortfeasors for the same injury or wrongful death, contribution may be enforced by separate action.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2C7FDC" w:rsidRPr="002C7FDC">
        <w:noBreakHyphen/>
      </w:r>
      <w:r w:rsidRPr="002C7FDC">
        <w:t>38</w:t>
      </w:r>
      <w:r w:rsidR="002C7FDC" w:rsidRPr="002C7FDC">
        <w:noBreakHyphen/>
      </w:r>
      <w:r w:rsidRPr="002C7FDC">
        <w:t>20(B), a defendant has the right to seek contribution against any judgment defendant and other persons who were not made parties to the action.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(F) The judgment of the court in determining the liability of the several defendants to the claimant for an injury or wrongful death shall be binding as among such defendants in determining their right to contribution.</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50.</w:t>
      </w:r>
      <w:r w:rsidR="00DB1310" w:rsidRPr="002C7FDC">
        <w:t xml:space="preserve"> Effect of release, covenant not to sue, or not to enforce judgment.</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When a release or a covenant not to sue or not to enforce judgment is given in good faith to one of two or more persons liable in tort for the same injury or the same wrongful death:</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r>
      <w:r w:rsidRPr="002C7FDC">
        <w:tab/>
        <w:t>(2) it discharges the tortfeasor to whom it is given from all liability for contribution to any other tortfeasor.</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60.</w:t>
      </w:r>
      <w:r w:rsidR="00DB1310" w:rsidRPr="002C7FDC">
        <w:t xml:space="preserve"> Construction of chapter.</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This chapter shall be so interpreted and construed as to effectuate its general purpose to make uniform the law of those that enact it.</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1988 Act No. 432, </w:t>
      </w:r>
      <w:r w:rsidRPr="002C7FDC">
        <w:t xml:space="preserve">Section </w:t>
      </w:r>
      <w:r w:rsidR="00DB1310" w:rsidRPr="002C7FDC">
        <w:t>5.</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65.</w:t>
      </w:r>
      <w:r w:rsidR="00DB1310" w:rsidRPr="002C7FDC">
        <w:t xml:space="preserve"> Uniform Contribution Among Tortfeasors Act not applicable to governmental entities.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B1310" w:rsidRPr="002C7FDC">
        <w:t xml:space="preserve">: 1994 Act No. 497, Part II, </w:t>
      </w:r>
      <w:r w:rsidRPr="002C7FDC">
        <w:t xml:space="preserve">Section </w:t>
      </w:r>
      <w:r w:rsidR="00DB1310" w:rsidRPr="002C7FDC">
        <w:t>107A.</w:t>
      </w:r>
    </w:p>
    <w:p w:rsidR="002C7FDC" w:rsidRP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rPr>
          <w:b/>
        </w:rPr>
        <w:t xml:space="preserve">SECTION </w:t>
      </w:r>
      <w:r w:rsidR="00DB1310" w:rsidRPr="002C7FDC">
        <w:rPr>
          <w:b/>
        </w:rPr>
        <w:t>15</w:t>
      </w:r>
      <w:r w:rsidRPr="002C7FDC">
        <w:rPr>
          <w:b/>
        </w:rPr>
        <w:noBreakHyphen/>
      </w:r>
      <w:r w:rsidR="00DB1310" w:rsidRPr="002C7FDC">
        <w:rPr>
          <w:b/>
        </w:rPr>
        <w:t>38</w:t>
      </w:r>
      <w:r w:rsidRPr="002C7FDC">
        <w:rPr>
          <w:b/>
        </w:rPr>
        <w:noBreakHyphen/>
      </w:r>
      <w:r w:rsidR="00DB1310" w:rsidRPr="002C7FDC">
        <w:rPr>
          <w:b/>
        </w:rPr>
        <w:t>70.</w:t>
      </w:r>
      <w:r w:rsidR="00DB1310" w:rsidRPr="002C7FDC">
        <w:t xml:space="preserve"> Repeal of inconsistent acts.</w:t>
      </w:r>
    </w:p>
    <w:p w:rsidR="002C7FDC" w:rsidRDefault="00DB1310"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7FDC">
        <w:tab/>
        <w:t>All acts or parts of acts which are inconsistent with the provisions of this chapter are hereby repealed.</w:t>
      </w: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7FDC" w:rsidRDefault="002C7FDC"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B1310" w:rsidRPr="002C7FDC">
        <w:t xml:space="preserve">: 1988 Act No. 432, </w:t>
      </w:r>
      <w:r w:rsidRPr="002C7FDC">
        <w:t xml:space="preserve">Section </w:t>
      </w:r>
      <w:r w:rsidR="00DB1310" w:rsidRPr="002C7FDC">
        <w:t>5.</w:t>
      </w:r>
    </w:p>
    <w:p w:rsidR="00B71A37" w:rsidRPr="002C7FDC" w:rsidRDefault="00B71A37" w:rsidP="002C7F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C7FDC" w:rsidSect="002C7FD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FDC" w:rsidRDefault="002C7FDC" w:rsidP="002C7FDC">
      <w:r>
        <w:separator/>
      </w:r>
    </w:p>
  </w:endnote>
  <w:endnote w:type="continuationSeparator" w:id="0">
    <w:p w:rsidR="002C7FDC" w:rsidRDefault="002C7FDC" w:rsidP="002C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FDC" w:rsidRDefault="002C7FDC" w:rsidP="002C7FDC">
      <w:r>
        <w:separator/>
      </w:r>
    </w:p>
  </w:footnote>
  <w:footnote w:type="continuationSeparator" w:id="0">
    <w:p w:rsidR="002C7FDC" w:rsidRDefault="002C7FDC" w:rsidP="002C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FDC" w:rsidRPr="002C7FDC" w:rsidRDefault="002C7FDC" w:rsidP="002C7F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310"/>
    <w:rsid w:val="00011B46"/>
    <w:rsid w:val="0013374B"/>
    <w:rsid w:val="001A0DBE"/>
    <w:rsid w:val="001B25FC"/>
    <w:rsid w:val="001D352E"/>
    <w:rsid w:val="001F0FA2"/>
    <w:rsid w:val="00274668"/>
    <w:rsid w:val="002B6473"/>
    <w:rsid w:val="002C1C67"/>
    <w:rsid w:val="002C7FDC"/>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B1310"/>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8094-5505-47C3-8254-003AAB12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B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1310"/>
    <w:rPr>
      <w:rFonts w:ascii="Courier New" w:eastAsiaTheme="minorEastAsia" w:hAnsi="Courier New" w:cs="Courier New"/>
      <w:sz w:val="20"/>
      <w:szCs w:val="20"/>
    </w:rPr>
  </w:style>
  <w:style w:type="paragraph" w:styleId="Header">
    <w:name w:val="header"/>
    <w:basedOn w:val="Normal"/>
    <w:link w:val="HeaderChar"/>
    <w:uiPriority w:val="99"/>
    <w:unhideWhenUsed/>
    <w:rsid w:val="002C7FDC"/>
    <w:pPr>
      <w:tabs>
        <w:tab w:val="center" w:pos="4680"/>
        <w:tab w:val="right" w:pos="9360"/>
      </w:tabs>
    </w:pPr>
  </w:style>
  <w:style w:type="character" w:customStyle="1" w:styleId="HeaderChar">
    <w:name w:val="Header Char"/>
    <w:basedOn w:val="DefaultParagraphFont"/>
    <w:link w:val="Header"/>
    <w:uiPriority w:val="99"/>
    <w:rsid w:val="002C7FDC"/>
    <w:rPr>
      <w:rFonts w:ascii="Times New Roman" w:hAnsi="Times New Roman" w:cs="Times New Roman"/>
    </w:rPr>
  </w:style>
  <w:style w:type="paragraph" w:styleId="Footer">
    <w:name w:val="footer"/>
    <w:basedOn w:val="Normal"/>
    <w:link w:val="FooterChar"/>
    <w:uiPriority w:val="99"/>
    <w:unhideWhenUsed/>
    <w:rsid w:val="002C7FDC"/>
    <w:pPr>
      <w:tabs>
        <w:tab w:val="center" w:pos="4680"/>
        <w:tab w:val="right" w:pos="9360"/>
      </w:tabs>
    </w:pPr>
  </w:style>
  <w:style w:type="character" w:customStyle="1" w:styleId="FooterChar">
    <w:name w:val="Footer Char"/>
    <w:basedOn w:val="DefaultParagraphFont"/>
    <w:link w:val="Footer"/>
    <w:uiPriority w:val="99"/>
    <w:rsid w:val="002C7F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2023-09-21T18:55:00Z</dcterms:created>
  <dcterms:modified xsi:type="dcterms:W3CDTF">2023-09-21T18:55:00Z</dcterms:modified>
</cp:coreProperties>
</file>