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96" w:rsidRDefault="000F45D0">
      <w:pPr>
        <w:widowControl w:val="0"/>
        <w:jc w:val="center"/>
        <w:rPr>
          <w:rFonts w:cs="Times New Roman"/>
        </w:rPr>
      </w:pPr>
      <w:bookmarkStart w:id="0" w:name="_GoBack"/>
      <w:bookmarkEnd w:id="0"/>
      <w:r>
        <w:rPr>
          <w:rFonts w:cs="Times New Roman"/>
          <w:b/>
        </w:rPr>
        <w:t>South Carolina General Assembly</w:t>
      </w:r>
    </w:p>
    <w:p w:rsidR="00A90F96" w:rsidRDefault="000F45D0">
      <w:pPr>
        <w:widowControl w:val="0"/>
        <w:jc w:val="center"/>
        <w:rPr>
          <w:rFonts w:cs="Times New Roman"/>
        </w:rPr>
      </w:pPr>
      <w:r>
        <w:rPr>
          <w:rFonts w:cs="Times New Roman"/>
        </w:rPr>
        <w:t>118th Session, 2009-2010</w:t>
      </w:r>
    </w:p>
    <w:p w:rsidR="00A90F96" w:rsidRDefault="00A90F96">
      <w:pPr>
        <w:widowControl w:val="0"/>
        <w:jc w:val="left"/>
        <w:rPr>
          <w:rFonts w:cs="Times New Roman"/>
        </w:rPr>
      </w:pPr>
    </w:p>
    <w:p w:rsidR="00A90F96" w:rsidRDefault="000F45D0">
      <w:pPr>
        <w:widowControl w:val="0"/>
        <w:jc w:val="left"/>
        <w:rPr>
          <w:rFonts w:cs="Times New Roman"/>
          <w:b/>
        </w:rPr>
      </w:pPr>
      <w:r>
        <w:rPr>
          <w:rFonts w:cs="Times New Roman"/>
          <w:b/>
        </w:rPr>
        <w:t>S. 106</w:t>
      </w:r>
    </w:p>
    <w:p w:rsidR="00A90F96" w:rsidRDefault="00A90F96">
      <w:pPr>
        <w:widowControl w:val="0"/>
        <w:jc w:val="left"/>
        <w:rPr>
          <w:rFonts w:cs="Times New Roman"/>
          <w:b/>
        </w:rPr>
      </w:pPr>
    </w:p>
    <w:p w:rsidR="00A90F96" w:rsidRDefault="000F45D0">
      <w:pPr>
        <w:widowControl w:val="0"/>
        <w:jc w:val="left"/>
        <w:rPr>
          <w:rFonts w:cs="Times New Roman"/>
        </w:rPr>
      </w:pPr>
      <w:r>
        <w:rPr>
          <w:rFonts w:cs="Times New Roman"/>
          <w:b/>
        </w:rPr>
        <w:t>STATUS INFORMATION</w:t>
      </w:r>
    </w:p>
    <w:p w:rsidR="00A90F96" w:rsidRDefault="00A90F96">
      <w:pPr>
        <w:widowControl w:val="0"/>
        <w:jc w:val="left"/>
        <w:rPr>
          <w:rFonts w:cs="Times New Roman"/>
        </w:rPr>
      </w:pPr>
    </w:p>
    <w:p w:rsidR="00A90F96" w:rsidRDefault="000F45D0">
      <w:pPr>
        <w:widowControl w:val="0"/>
        <w:jc w:val="left"/>
        <w:rPr>
          <w:rFonts w:cs="Times New Roman"/>
        </w:rPr>
      </w:pPr>
      <w:r>
        <w:rPr>
          <w:rFonts w:cs="Times New Roman"/>
        </w:rPr>
        <w:t>General Bill</w:t>
      </w:r>
    </w:p>
    <w:p w:rsidR="00A90F96" w:rsidRDefault="000F45D0">
      <w:pPr>
        <w:widowControl w:val="0"/>
        <w:jc w:val="left"/>
        <w:rPr>
          <w:rFonts w:cs="Times New Roman"/>
        </w:rPr>
      </w:pPr>
      <w:r>
        <w:rPr>
          <w:rFonts w:cs="Times New Roman"/>
        </w:rPr>
        <w:t>Sponsors: Senators Alexander, Leventis, Elliott and Hayes</w:t>
      </w:r>
    </w:p>
    <w:p w:rsidR="00A90F96" w:rsidRDefault="000F45D0">
      <w:pPr>
        <w:widowControl w:val="0"/>
        <w:jc w:val="left"/>
        <w:rPr>
          <w:rFonts w:cs="Times New Roman"/>
        </w:rPr>
      </w:pPr>
      <w:r>
        <w:rPr>
          <w:rFonts w:cs="Times New Roman"/>
        </w:rPr>
        <w:t>Document Path: l:\s-res\tca\001earl.kmm.tca.docx</w:t>
      </w:r>
    </w:p>
    <w:p w:rsidR="00A90F96" w:rsidRDefault="000F45D0">
      <w:pPr>
        <w:widowControl w:val="0"/>
        <w:jc w:val="left"/>
        <w:rPr>
          <w:rFonts w:cs="Times New Roman"/>
        </w:rPr>
      </w:pPr>
      <w:r>
        <w:rPr>
          <w:rFonts w:cs="Times New Roman"/>
        </w:rPr>
        <w:t>Companion/Similar bill(s): 82</w:t>
      </w:r>
    </w:p>
    <w:p w:rsidR="00A90F96" w:rsidRDefault="00A90F96">
      <w:pPr>
        <w:widowControl w:val="0"/>
        <w:jc w:val="left"/>
        <w:rPr>
          <w:rFonts w:cs="Times New Roman"/>
        </w:rPr>
      </w:pPr>
    </w:p>
    <w:p w:rsidR="00A90F96" w:rsidRDefault="000F45D0">
      <w:pPr>
        <w:widowControl w:val="0"/>
        <w:jc w:val="left"/>
        <w:rPr>
          <w:rFonts w:cs="Times New Roman"/>
        </w:rPr>
      </w:pPr>
      <w:r>
        <w:rPr>
          <w:rFonts w:cs="Times New Roman"/>
        </w:rPr>
        <w:t>Introduced in the Senate on January 13, 2009</w:t>
      </w:r>
    </w:p>
    <w:p w:rsidR="00A90F96" w:rsidRDefault="000F45D0">
      <w:pPr>
        <w:widowControl w:val="0"/>
        <w:jc w:val="left"/>
        <w:rPr>
          <w:rFonts w:cs="Times New Roman"/>
        </w:rPr>
      </w:pPr>
      <w:r>
        <w:rPr>
          <w:rFonts w:cs="Times New Roman"/>
        </w:rPr>
        <w:t xml:space="preserve">Currently residing in the Senate Committee on </w:t>
      </w:r>
      <w:r>
        <w:rPr>
          <w:rFonts w:cs="Times New Roman"/>
          <w:b/>
        </w:rPr>
        <w:t>Judiciary</w:t>
      </w:r>
    </w:p>
    <w:p w:rsidR="00A90F96" w:rsidRDefault="00A90F96">
      <w:pPr>
        <w:widowControl w:val="0"/>
        <w:jc w:val="left"/>
        <w:rPr>
          <w:rFonts w:cs="Times New Roman"/>
        </w:rPr>
      </w:pPr>
    </w:p>
    <w:p w:rsidR="00A90F96" w:rsidRDefault="000F45D0">
      <w:pPr>
        <w:widowControl w:val="0"/>
        <w:jc w:val="left"/>
        <w:rPr>
          <w:rFonts w:cs="Times New Roman"/>
        </w:rPr>
      </w:pPr>
      <w:r>
        <w:rPr>
          <w:rFonts w:cs="Times New Roman"/>
        </w:rPr>
        <w:t>Summary: Absentee ballots</w:t>
      </w:r>
    </w:p>
    <w:p w:rsidR="00A90F96" w:rsidRDefault="00A90F96">
      <w:pPr>
        <w:widowControl w:val="0"/>
        <w:jc w:val="left"/>
        <w:rPr>
          <w:rFonts w:cs="Times New Roman"/>
        </w:rPr>
      </w:pPr>
    </w:p>
    <w:p w:rsidR="00A90F96" w:rsidRDefault="00A90F96">
      <w:pPr>
        <w:widowControl w:val="0"/>
        <w:jc w:val="left"/>
        <w:rPr>
          <w:rFonts w:cs="Times New Roman"/>
        </w:rPr>
      </w:pPr>
    </w:p>
    <w:p w:rsidR="00A90F96" w:rsidRDefault="000F45D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90F96" w:rsidRDefault="00A90F96">
      <w:pPr>
        <w:widowControl w:val="0"/>
        <w:tabs>
          <w:tab w:val="center" w:pos="590"/>
          <w:tab w:val="center" w:pos="1440"/>
          <w:tab w:val="left" w:pos="1872"/>
          <w:tab w:val="left" w:pos="9187"/>
        </w:tabs>
        <w:jc w:val="left"/>
        <w:rPr>
          <w:rFonts w:cs="Times New Roman"/>
        </w:rPr>
      </w:pPr>
    </w:p>
    <w:p w:rsidR="00A90F96" w:rsidRDefault="000F45D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90F96" w:rsidRDefault="000F45D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A90F96" w:rsidRDefault="000F45D0">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A90F96" w:rsidRDefault="000F45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FB56F0">
          <w:rPr>
            <w:rStyle w:val="Hyperlink"/>
            <w:rFonts w:cs="Times New Roman"/>
          </w:rPr>
          <w:t>SJ</w:t>
        </w:r>
      </w:hyperlink>
      <w:r>
        <w:rPr>
          <w:rFonts w:cs="Times New Roman"/>
        </w:rPr>
        <w:noBreakHyphen/>
        <w:t>120</w:t>
      </w:r>
    </w:p>
    <w:p w:rsidR="00A90F96" w:rsidRDefault="000F45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FB56F0">
          <w:rPr>
            <w:rStyle w:val="Hyperlink"/>
            <w:rFonts w:cs="Times New Roman"/>
          </w:rPr>
          <w:t>SJ</w:t>
        </w:r>
      </w:hyperlink>
      <w:r>
        <w:rPr>
          <w:rFonts w:cs="Times New Roman"/>
        </w:rPr>
        <w:noBreakHyphen/>
        <w:t>120</w:t>
      </w:r>
    </w:p>
    <w:p w:rsidR="00A90F96" w:rsidRDefault="000F45D0">
      <w:pPr>
        <w:widowControl w:val="0"/>
        <w:tabs>
          <w:tab w:val="right" w:pos="1008"/>
          <w:tab w:val="left" w:pos="1152"/>
          <w:tab w:val="left" w:pos="1872"/>
          <w:tab w:val="left" w:pos="9187"/>
        </w:tabs>
        <w:ind w:left="2088" w:hanging="2088"/>
        <w:jc w:val="left"/>
        <w:rPr>
          <w:rFonts w:cs="Times New Roman"/>
        </w:rPr>
      </w:pPr>
      <w:r>
        <w:rPr>
          <w:rFonts w:cs="Times New Roman"/>
        </w:rPr>
        <w:tab/>
        <w:t>3/13/2009</w:t>
      </w:r>
      <w:r>
        <w:rPr>
          <w:rFonts w:cs="Times New Roman"/>
        </w:rPr>
        <w:tab/>
        <w:t>Senate</w:t>
      </w:r>
      <w:r>
        <w:rPr>
          <w:rFonts w:cs="Times New Roman"/>
        </w:rPr>
        <w:tab/>
        <w:t>Referred to Subcommittee: Campsen (ch), Cleary, Scott</w:t>
      </w:r>
    </w:p>
    <w:p w:rsidR="00A90F96" w:rsidRDefault="00A90F96">
      <w:pPr>
        <w:widowControl w:val="0"/>
        <w:tabs>
          <w:tab w:val="right" w:pos="1008"/>
          <w:tab w:val="left" w:pos="1152"/>
          <w:tab w:val="left" w:pos="1872"/>
          <w:tab w:val="left" w:pos="9187"/>
        </w:tabs>
        <w:ind w:left="2088" w:hanging="2088"/>
        <w:jc w:val="left"/>
        <w:rPr>
          <w:rFonts w:cs="Times New Roman"/>
        </w:rPr>
      </w:pPr>
    </w:p>
    <w:p w:rsidR="00A90F96" w:rsidRDefault="00A90F96">
      <w:pPr>
        <w:widowControl w:val="0"/>
        <w:tabs>
          <w:tab w:val="right" w:pos="1008"/>
          <w:tab w:val="left" w:pos="1152"/>
          <w:tab w:val="left" w:pos="1872"/>
          <w:tab w:val="left" w:pos="9187"/>
        </w:tabs>
        <w:ind w:left="2088" w:hanging="2088"/>
        <w:jc w:val="left"/>
        <w:rPr>
          <w:rFonts w:cs="Times New Roman"/>
        </w:rPr>
      </w:pPr>
    </w:p>
    <w:p w:rsidR="00A90F96" w:rsidRDefault="000F45D0">
      <w:pPr>
        <w:widowControl w:val="0"/>
        <w:jc w:val="left"/>
        <w:rPr>
          <w:rFonts w:cs="Times New Roman"/>
        </w:rPr>
      </w:pPr>
      <w:r>
        <w:rPr>
          <w:rFonts w:cs="Times New Roman"/>
          <w:b/>
        </w:rPr>
        <w:t>VERSIONS OF THIS BILL</w:t>
      </w:r>
    </w:p>
    <w:p w:rsidR="00A90F96" w:rsidRDefault="00A90F96">
      <w:pPr>
        <w:widowControl w:val="0"/>
        <w:jc w:val="left"/>
        <w:rPr>
          <w:rFonts w:cs="Times New Roman"/>
        </w:rPr>
      </w:pPr>
    </w:p>
    <w:p w:rsidR="00A90F96" w:rsidRDefault="0051580C">
      <w:pPr>
        <w:widowControl w:val="0"/>
        <w:jc w:val="left"/>
        <w:rPr>
          <w:rFonts w:cs="Times New Roman"/>
        </w:rPr>
      </w:pPr>
      <w:hyperlink r:id="rId8" w:history="1">
        <w:r w:rsidR="000F45D0">
          <w:rPr>
            <w:rStyle w:val="Hyperlink"/>
            <w:rFonts w:cs="Times New Roman"/>
          </w:rPr>
          <w:t>12/10/2008</w:t>
        </w:r>
      </w:hyperlink>
    </w:p>
    <w:p w:rsidR="00A90F96" w:rsidRDefault="00A90F96"/>
    <w:p w:rsidR="00A90F96" w:rsidRDefault="00A90F96">
      <w:pPr>
        <w:sectPr w:rsidR="00A90F96">
          <w:pgSz w:w="12240" w:h="15840" w:code="1"/>
          <w:pgMar w:top="1080" w:right="1440" w:bottom="1080" w:left="1440" w:header="720" w:footer="720" w:gutter="0"/>
          <w:cols w:space="720"/>
          <w:noEndnote/>
          <w:docGrid w:linePitch="360"/>
        </w:sect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7</w:t>
      </w:r>
      <w:r>
        <w:rPr>
          <w:rFonts w:eastAsia="Times New Roman" w:cs="Times New Roman"/>
        </w:rPr>
        <w:noBreakHyphen/>
        <w:t>15</w:t>
      </w:r>
      <w:r>
        <w:rPr>
          <w:rFonts w:eastAsia="Times New Roman" w:cs="Times New Roman"/>
        </w:rPr>
        <w:noBreakHyphen/>
        <w:t>320 OF THE 1976 CODE, RELATING TO PERSONS QUALIFIED TO VOTE BY ABSENTEE BALLOT, TO PROVIDE THAT QUALIFIED ELECTORS MAY CAST AN ABSENTEE BALLOT AT THE ABSENTEE VOTING PRECINCT IN THEIR COUNTY OF RESIDENCE WITHOUT BEING REQUIRED TO MEET THE STATUTORY REQUIREMENTS TO OTHERWISE OBTAIN AN ABSENTEE BALLOT; AND TO AMEND SECTION 7</w:t>
      </w:r>
      <w:r>
        <w:rPr>
          <w:rFonts w:eastAsia="Times New Roman" w:cs="Times New Roman"/>
        </w:rPr>
        <w:noBreakHyphen/>
        <w:t>15</w:t>
      </w:r>
      <w:r>
        <w:rPr>
          <w:rFonts w:eastAsia="Times New Roman" w:cs="Times New Roman"/>
        </w:rPr>
        <w:noBreakHyphen/>
        <w:t>410, TO PROVIDE FOR THE AVAILABILITY OF ABSENTEE BALLOTS TO ELECTORS THAT WANT TO CAST A BALLOT PRIOR TO AN UPCOMING ELECTION IN PERSON AT THE ABSENTEE VOTING PRECINCT IN THEIR COUNTY OF RESIDENCE.</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7</w:t>
      </w:r>
      <w:r>
        <w:rPr>
          <w:rFonts w:eastAsia="Times New Roman" w:cs="Times New Roman"/>
        </w:rPr>
        <w:noBreakHyphen/>
        <w:t>15</w:t>
      </w:r>
      <w:r>
        <w:rPr>
          <w:rFonts w:eastAsia="Times New Roman" w:cs="Times New Roman"/>
        </w:rPr>
        <w:noBreakHyphen/>
        <w:t>320 of the 1976 Code is amended to read:</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“Section 7</w:t>
      </w:r>
      <w:r>
        <w:rPr>
          <w:rFonts w:eastAsia="Times New Roman" w:cs="Times New Roman"/>
        </w:rPr>
        <w:noBreakHyphen/>
        <w:t>15</w:t>
      </w:r>
      <w:r>
        <w:rPr>
          <w:rFonts w:eastAsia="Times New Roman" w:cs="Times New Roman"/>
        </w:rPr>
        <w:noBreakHyphen/>
        <w:t>320.</w:t>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eastAsia="Times New Roman" w:cs="Times New Roman"/>
          <w:szCs w:val="24"/>
        </w:rPr>
        <w:t>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cs="Times New Roman"/>
          <w:szCs w:val="24"/>
        </w:rPr>
        <w:noBreakHyphen/>
        <w:t xml:space="preserve">day period before an election, and persons whose employment obligations required that they be at their place of employment during the hours that the polls are open and present </w:t>
      </w:r>
      <w:r>
        <w:rPr>
          <w:rFonts w:eastAsia="Times New Roman" w:cs="Times New Roman"/>
          <w:szCs w:val="24"/>
        </w:rPr>
        <w:lastRenderedPageBreak/>
        <w:t>written certification of that obligation to the county registration board, and persons confined to a jail or pre</w:t>
      </w:r>
      <w:r>
        <w:rPr>
          <w:rFonts w:eastAsia="Times New Roman" w:cs="Times New Roman"/>
          <w:szCs w:val="24"/>
        </w:rPr>
        <w:noBreakHyphen/>
        <w:t xml:space="preserve">trial facility pending disposition of arrest or trial may vote by absentee ballot whether or not absent from their county of residence: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students, their spouses, and dependents residing with them;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members of the Armed Forces and Merchant Marines of the United States, their spouses, and dependents residing with them;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persons serving with the American Red Cross or with the United Service Organizations (USO) who are attached to and serving with the Armed Forces of the United States, their spouses, and dependents residing with them;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persons in employment;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physically disabled persons;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governmental employees, their spouses, and dependents residing with them;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electors with a death or funeral in the family within a three</w:t>
      </w:r>
      <w:r>
        <w:rPr>
          <w:rFonts w:eastAsia="Times New Roman" w:cs="Times New Roman"/>
          <w:szCs w:val="24"/>
        </w:rPr>
        <w:noBreakHyphen/>
        <w:t xml:space="preserve">day period before the election;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 xml:space="preserve">persons on vacation (who by virtue of vacation plans will be absent from their county of residence on election day);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 xml:space="preserve">certified poll watchers, poll managers, county voter registration board members and staff, county election commission members and staff working on election day;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overseas citizens;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 xml:space="preserve">persons attending sick or physically disabled persons;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(12)</w:t>
      </w:r>
      <w:r>
        <w:rPr>
          <w:rFonts w:eastAsia="Times New Roman" w:cs="Times New Roman"/>
          <w:szCs w:val="24"/>
        </w:rPr>
        <w:tab/>
        <w:t>persons admitted to hospitals as emergency patients on the day of an election or within a four</w:t>
      </w:r>
      <w:r>
        <w:rPr>
          <w:rFonts w:eastAsia="Times New Roman" w:cs="Times New Roman"/>
          <w:szCs w:val="24"/>
        </w:rPr>
        <w:noBreakHyphen/>
        <w:t xml:space="preserve">day period before the election;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(13)</w:t>
      </w:r>
      <w:r>
        <w:rPr>
          <w:rFonts w:eastAsia="Times New Roman" w:cs="Times New Roman"/>
          <w:szCs w:val="24"/>
        </w:rPr>
        <w:tab/>
        <w:t xml:space="preserve">persons who will be serving as jurors in a state or federal court on election day;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(14)</w:t>
      </w:r>
      <w:r>
        <w:rPr>
          <w:rFonts w:eastAsia="Times New Roman" w:cs="Times New Roman"/>
          <w:szCs w:val="24"/>
        </w:rPr>
        <w:tab/>
        <w:t>persons sixty</w:t>
      </w:r>
      <w:r>
        <w:rPr>
          <w:rFonts w:eastAsia="Times New Roman" w:cs="Times New Roman"/>
          <w:szCs w:val="24"/>
        </w:rPr>
        <w:noBreakHyphen/>
        <w:t xml:space="preserve">five years of age or older; </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(15)</w:t>
      </w:r>
      <w:r>
        <w:rPr>
          <w:rFonts w:eastAsia="Times New Roman" w:cs="Times New Roman"/>
          <w:szCs w:val="24"/>
        </w:rPr>
        <w:tab/>
        <w:t>persons confined to a jail or pre</w:t>
      </w:r>
      <w:r>
        <w:rPr>
          <w:rFonts w:eastAsia="Times New Roman" w:cs="Times New Roman"/>
          <w:szCs w:val="24"/>
        </w:rPr>
        <w:noBreakHyphen/>
        <w:t>trial facility pending disposition of arrest or trial.</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A qualified elector must be permitted to vote by absentee ballot if he casts his ballot at the absentee voting precinct located in his county of residence as provided in Section 7</w:t>
      </w:r>
      <w:r>
        <w:rPr>
          <w:rFonts w:eastAsia="Times New Roman" w:cs="Times New Roman"/>
          <w:szCs w:val="24"/>
          <w:u w:val="single"/>
        </w:rPr>
        <w:noBreakHyphen/>
        <w:t>15</w:t>
      </w:r>
      <w:r>
        <w:rPr>
          <w:rFonts w:eastAsia="Times New Roman" w:cs="Times New Roman"/>
          <w:szCs w:val="24"/>
          <w:u w:val="single"/>
        </w:rPr>
        <w:noBreakHyphen/>
        <w:t>410(B).  A qualified elector voting pursuant to this subsection does not have to meet the requirements of subsection (A) and does not have to subscribe to the oath required by Section 7</w:t>
      </w:r>
      <w:r>
        <w:rPr>
          <w:rFonts w:eastAsia="Times New Roman" w:cs="Times New Roman"/>
          <w:szCs w:val="24"/>
          <w:u w:val="single"/>
        </w:rPr>
        <w:noBreakHyphen/>
        <w:t>15</w:t>
      </w:r>
      <w:r>
        <w:rPr>
          <w:rFonts w:eastAsia="Times New Roman" w:cs="Times New Roman"/>
          <w:szCs w:val="24"/>
          <w:u w:val="single"/>
        </w:rPr>
        <w:noBreakHyphen/>
        <w:t>370.</w:t>
      </w:r>
      <w:r>
        <w:rPr>
          <w:rFonts w:eastAsia="Times New Roman" w:cs="Times New Roman"/>
          <w:szCs w:val="24"/>
        </w:rPr>
        <w:t>”</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7</w:t>
      </w:r>
      <w:r>
        <w:rPr>
          <w:rFonts w:eastAsia="Times New Roman" w:cs="Times New Roman"/>
        </w:rPr>
        <w:noBreakHyphen/>
        <w:t>15</w:t>
      </w:r>
      <w:r>
        <w:rPr>
          <w:rFonts w:eastAsia="Times New Roman" w:cs="Times New Roman"/>
        </w:rPr>
        <w:noBreakHyphen/>
        <w:t>410 of the 1976 Code is amended to read:</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ab/>
        <w:t>“Section 7</w:t>
      </w:r>
      <w:r>
        <w:rPr>
          <w:rFonts w:eastAsia="Times New Roman" w:cs="Times New Roman"/>
        </w:rPr>
        <w:noBreakHyphen/>
        <w:t>15</w:t>
      </w:r>
      <w:r>
        <w:rPr>
          <w:rFonts w:eastAsia="Times New Roman" w:cs="Times New Roman"/>
        </w:rPr>
        <w:noBreakHyphen/>
        <w:t>410.</w:t>
      </w:r>
      <w:r>
        <w:rPr>
          <w:rFonts w:eastAsia="Times New Roman" w:cs="Times New Roman"/>
        </w:rPr>
        <w:tab/>
      </w:r>
      <w:r>
        <w:rPr>
          <w:rFonts w:eastAsia="Times New Roman" w:cs="Times New Roman"/>
          <w:u w:val="single"/>
        </w:rPr>
        <w:t>(A)</w:t>
      </w:r>
      <w:r>
        <w:rPr>
          <w:rFonts w:eastAsia="Times New Roman" w:cs="Times New Roman"/>
        </w:rPr>
        <w:tab/>
      </w:r>
      <w:r>
        <w:rPr>
          <w:rFonts w:cs="Times New Roman"/>
        </w:rPr>
        <w:t xml:space="preserve">In each county there must be established </w:t>
      </w:r>
      <w:r>
        <w:rPr>
          <w:rFonts w:cs="Times New Roman"/>
          <w:strike/>
        </w:rPr>
        <w:t>an</w:t>
      </w:r>
      <w:r>
        <w:rPr>
          <w:rFonts w:cs="Times New Roman"/>
        </w:rPr>
        <w:t xml:space="preserve"> </w:t>
      </w:r>
      <w:r>
        <w:rPr>
          <w:rFonts w:cs="Times New Roman"/>
          <w:u w:val="single"/>
        </w:rPr>
        <w:t>one or more</w:t>
      </w:r>
      <w:r>
        <w:rPr>
          <w:rFonts w:cs="Times New Roman"/>
        </w:rPr>
        <w:t xml:space="preserve"> absentee voting </w:t>
      </w:r>
      <w:r>
        <w:rPr>
          <w:rFonts w:cs="Times New Roman"/>
          <w:strike/>
        </w:rPr>
        <w:t>precinct</w:t>
      </w:r>
      <w:r>
        <w:rPr>
          <w:rFonts w:cs="Times New Roman"/>
        </w:rPr>
        <w:t xml:space="preserve"> </w:t>
      </w:r>
      <w:r>
        <w:rPr>
          <w:rFonts w:cs="Times New Roman"/>
          <w:u w:val="single"/>
        </w:rPr>
        <w:t>precincts.  One absentee voting precinct must be</w:t>
      </w:r>
      <w:r>
        <w:rPr>
          <w:rFonts w:cs="Times New Roman"/>
        </w:rPr>
        <w:t xml:space="preserve"> located in the office of the county board of registration </w:t>
      </w:r>
      <w:r>
        <w:rPr>
          <w:rFonts w:cs="Times New Roman"/>
          <w:u w:val="single"/>
        </w:rPr>
        <w:t>and any others absentee voting precincts may be located in suitable locations throughout the county by the county board of registration</w:t>
      </w:r>
      <w:r>
        <w:rPr>
          <w:rFonts w:cs="Times New Roman"/>
        </w:rPr>
        <w:t xml:space="preserve">.  The county election commission, municipal election commission, county committee for each political party, or executive committee of each municipal party in the case of primary elections is responsible for the tabulation and reporting of ballots at the absentee voting </w:t>
      </w:r>
      <w:r>
        <w:rPr>
          <w:rFonts w:cs="Times New Roman"/>
          <w:strike/>
        </w:rPr>
        <w:t>precinct</w:t>
      </w:r>
      <w:r>
        <w:rPr>
          <w:rFonts w:cs="Times New Roman"/>
        </w:rPr>
        <w:t xml:space="preserve"> </w:t>
      </w:r>
      <w:r>
        <w:rPr>
          <w:rFonts w:cs="Times New Roman"/>
          <w:u w:val="single"/>
        </w:rPr>
        <w:t>precincts</w:t>
      </w:r>
      <w:r>
        <w:rPr>
          <w:rFonts w:cs="Times New Roman"/>
        </w:rPr>
        <w:t>.  The absentee ballots must remain in the custody of the county board of registration until transferred to the county election commission, municipal election commission, county committee for each political party or executive committee of each municipal party for the purpose of tabulation and reporting as provided in Section 7</w:t>
      </w:r>
      <w:r>
        <w:rPr>
          <w:rFonts w:cs="Times New Roman"/>
        </w:rPr>
        <w:noBreakHyphen/>
        <w:t>15</w:t>
      </w:r>
      <w:r>
        <w:rPr>
          <w:rFonts w:cs="Times New Roman"/>
        </w:rPr>
        <w:noBreakHyphen/>
        <w:t>420.</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cs="Times New Roman"/>
        </w:rPr>
        <w:tab/>
      </w:r>
      <w:r>
        <w:rPr>
          <w:rFonts w:cs="Times New Roman"/>
          <w:u w:val="single"/>
        </w:rPr>
        <w:t>(B)</w:t>
      </w:r>
      <w:r>
        <w:rPr>
          <w:rFonts w:cs="Times New Roman"/>
        </w:rPr>
        <w:tab/>
      </w:r>
      <w:r>
        <w:rPr>
          <w:rFonts w:cs="Times New Roman"/>
          <w:u w:val="single"/>
        </w:rPr>
        <w:t xml:space="preserve">The absentee voting precincts in each county must make absentee ballots available for qualified electors who want to cast an absentee ballot at the precinct prior to an upcoming </w:t>
      </w:r>
      <w:r>
        <w:rPr>
          <w:rFonts w:eastAsia="Times New Roman" w:cs="Times New Roman"/>
          <w:szCs w:val="24"/>
          <w:u w:val="single"/>
        </w:rPr>
        <w:t>election.  The absentee ballots required by this subsection must be available Monday through Friday</w:t>
      </w:r>
      <w:r>
        <w:rPr>
          <w:rFonts w:cs="Times New Roman"/>
          <w:u w:val="single"/>
        </w:rPr>
        <w:t xml:space="preserve"> during regular business hours for four weeks prior to the upcoming election.</w:t>
      </w:r>
      <w:r>
        <w:rPr>
          <w:rFonts w:cs="Times New Roman"/>
        </w:rPr>
        <w:t>”</w:t>
      </w:r>
      <w:r>
        <w:rPr>
          <w:rFonts w:cs="Times New Roman"/>
          <w:u w:val="single"/>
        </w:rPr>
        <w:t xml:space="preserve"> </w:t>
      </w:r>
    </w:p>
    <w:p w:rsidR="00A90F96" w:rsidRDefault="00A9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A90F96" w:rsidRDefault="000F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90F96" w:rsidSect="00A90F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F96" w:rsidRDefault="000F45D0">
      <w:r>
        <w:separator/>
      </w:r>
    </w:p>
  </w:endnote>
  <w:endnote w:type="continuationSeparator" w:id="0">
    <w:p w:rsidR="00A90F96" w:rsidRDefault="000F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6C6D73-D6D3-4FAD-9207-D8422DB8DAF9}"/>
    <w:embedBold r:id="rId2" w:fontKey="{6F7FD58D-07E6-4A66-906C-BDDB7F997945}"/>
  </w:font>
  <w:font w:name="Calibri">
    <w:panose1 w:val="020F0502020204030204"/>
    <w:charset w:val="00"/>
    <w:family w:val="swiss"/>
    <w:pitch w:val="variable"/>
    <w:sig w:usb0="E10002FF" w:usb1="4000ACFF" w:usb2="00000009" w:usb3="00000000" w:csb0="0000019F" w:csb1="00000000"/>
    <w:embedRegular r:id="rId3" w:fontKey="{503FAF7A-CC87-4556-8A20-896C85C42BE3}"/>
    <w:embedBold r:id="rId4" w:fontKey="{29AF64F9-281A-420B-8C38-2FC7EF862041}"/>
  </w:font>
  <w:font w:name="Tahoma">
    <w:panose1 w:val="020B0604030504040204"/>
    <w:charset w:val="00"/>
    <w:family w:val="swiss"/>
    <w:pitch w:val="variable"/>
    <w:sig w:usb0="21002A87" w:usb1="80000000" w:usb2="00000008" w:usb3="00000000" w:csb0="000101FF" w:csb1="00000000"/>
    <w:embedRegular r:id="rId5" w:fontKey="{F8B410A6-16AB-4039-B3A5-9D3D5CF2770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1519C05A-8F59-43E2-AB97-8A218FA18E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F96" w:rsidRDefault="000F45D0">
    <w:pPr>
      <w:pStyle w:val="Footer"/>
      <w:tabs>
        <w:tab w:val="clear" w:pos="4680"/>
        <w:tab w:val="clear" w:pos="9360"/>
        <w:tab w:val="center" w:pos="2995"/>
      </w:tabs>
      <w:spacing w:before="120"/>
    </w:pPr>
    <w:r>
      <w:t>[106]</w:t>
    </w:r>
    <w:r>
      <w:tab/>
    </w:r>
    <w:r w:rsidR="0051580C">
      <w:fldChar w:fldCharType="begin"/>
    </w:r>
    <w:r w:rsidR="0051580C">
      <w:instrText xml:space="preserve"> PAGE  \* MERGEFORMAT </w:instrText>
    </w:r>
    <w:r w:rsidR="0051580C">
      <w:fldChar w:fldCharType="separate"/>
    </w:r>
    <w:r w:rsidR="0051580C">
      <w:rPr>
        <w:noProof/>
      </w:rPr>
      <w:t>1</w:t>
    </w:r>
    <w:r w:rsidR="005158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F96" w:rsidRDefault="000F45D0">
      <w:r>
        <w:separator/>
      </w:r>
    </w:p>
  </w:footnote>
  <w:footnote w:type="continuationSeparator" w:id="0">
    <w:p w:rsidR="00A90F96" w:rsidRDefault="000F4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90F96"/>
    <w:rsid w:val="000F45D0"/>
    <w:rsid w:val="00126AD6"/>
    <w:rsid w:val="001C159C"/>
    <w:rsid w:val="0051580C"/>
    <w:rsid w:val="009736BF"/>
    <w:rsid w:val="00A90F96"/>
    <w:rsid w:val="00FB5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A9BFB7-93FE-4B69-9B1F-B0F21608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90F96"/>
    <w:rPr>
      <w:szCs w:val="21"/>
    </w:rPr>
  </w:style>
  <w:style w:type="character" w:customStyle="1" w:styleId="PlainTextChar">
    <w:name w:val="Plain Text Char"/>
    <w:basedOn w:val="DefaultParagraphFont"/>
    <w:link w:val="PlainText"/>
    <w:uiPriority w:val="99"/>
    <w:rsid w:val="00A90F96"/>
    <w:rPr>
      <w:szCs w:val="21"/>
    </w:rPr>
  </w:style>
  <w:style w:type="paragraph" w:styleId="BodyText">
    <w:name w:val="Body Text"/>
    <w:basedOn w:val="Normal"/>
    <w:link w:val="BodyTextChar"/>
    <w:uiPriority w:val="99"/>
    <w:locked/>
    <w:rsid w:val="00A90F96"/>
  </w:style>
  <w:style w:type="character" w:customStyle="1" w:styleId="BodyTextChar">
    <w:name w:val="Body Text Char"/>
    <w:basedOn w:val="DefaultParagraphFont"/>
    <w:link w:val="BodyText"/>
    <w:uiPriority w:val="99"/>
    <w:rsid w:val="00A90F96"/>
  </w:style>
  <w:style w:type="paragraph" w:styleId="BalloonText">
    <w:name w:val="Balloon Text"/>
    <w:next w:val="Normal"/>
    <w:link w:val="BalloonTextChar"/>
    <w:uiPriority w:val="99"/>
    <w:unhideWhenUsed/>
    <w:rsid w:val="00A90F96"/>
    <w:rPr>
      <w:rFonts w:cs="Tahoma"/>
      <w:szCs w:val="16"/>
    </w:rPr>
  </w:style>
  <w:style w:type="character" w:customStyle="1" w:styleId="BalloonTextChar">
    <w:name w:val="Balloon Text Char"/>
    <w:basedOn w:val="DefaultParagraphFont"/>
    <w:link w:val="BalloonText"/>
    <w:uiPriority w:val="99"/>
    <w:rsid w:val="00A90F96"/>
    <w:rPr>
      <w:rFonts w:cs="Tahoma"/>
      <w:szCs w:val="16"/>
    </w:rPr>
  </w:style>
  <w:style w:type="paragraph" w:styleId="NormalWeb">
    <w:name w:val="Normal (Web)"/>
    <w:basedOn w:val="Normal"/>
    <w:next w:val="Normal"/>
    <w:semiHidden/>
    <w:locked/>
    <w:rsid w:val="00A90F9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90F9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90F96"/>
    <w:rPr>
      <w:rFonts w:cs="Times New Roman"/>
    </w:rPr>
  </w:style>
  <w:style w:type="paragraph" w:styleId="Header">
    <w:name w:val="header"/>
    <w:basedOn w:val="Normal"/>
    <w:link w:val="HeaderChar"/>
    <w:uiPriority w:val="99"/>
    <w:semiHidden/>
    <w:unhideWhenUsed/>
    <w:locked/>
    <w:rsid w:val="00A90F96"/>
    <w:pPr>
      <w:tabs>
        <w:tab w:val="center" w:pos="4680"/>
        <w:tab w:val="right" w:pos="9360"/>
      </w:tabs>
    </w:pPr>
  </w:style>
  <w:style w:type="character" w:customStyle="1" w:styleId="HeaderChar">
    <w:name w:val="Header Char"/>
    <w:basedOn w:val="DefaultParagraphFont"/>
    <w:link w:val="Header"/>
    <w:uiPriority w:val="99"/>
    <w:semiHidden/>
    <w:rsid w:val="00A90F96"/>
  </w:style>
  <w:style w:type="character" w:styleId="LineNumber">
    <w:name w:val="line number"/>
    <w:basedOn w:val="DefaultParagraphFont"/>
    <w:uiPriority w:val="99"/>
    <w:semiHidden/>
    <w:unhideWhenUsed/>
    <w:locked/>
    <w:rsid w:val="00A90F96"/>
  </w:style>
  <w:style w:type="character" w:styleId="Hyperlink">
    <w:name w:val="Hyperlink"/>
    <w:basedOn w:val="DefaultParagraphFont"/>
    <w:uiPriority w:val="99"/>
    <w:unhideWhenUsed/>
    <w:locked/>
    <w:rsid w:val="00A90F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888</Words>
  <Characters>4798</Characters>
  <Application>Microsoft Office Word</Application>
  <DocSecurity>0</DocSecurity>
  <Lines>144</Lines>
  <Paragraphs>46</Paragraphs>
  <ScaleCrop>false</ScaleCrop>
  <Company>Project Management</Company>
  <LinksUpToDate>false</LinksUpToDate>
  <CharactersWithSpaces>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106: Absentee ballots - South Carolina Legislature Online</dc:title>
  <dc:subject/>
  <dc:creator>NSC</dc:creator>
  <cp:keywords/>
  <dc:description/>
  <cp:lastModifiedBy>N Cumfer</cp:lastModifiedBy>
  <cp:revision>16</cp:revision>
  <dcterms:created xsi:type="dcterms:W3CDTF">2008-12-10T20:23:00Z</dcterms:created>
  <dcterms:modified xsi:type="dcterms:W3CDTF">2014-11-24T14:53:00Z</dcterms:modified>
</cp:coreProperties>
</file>