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19B2" w:rsidRDefault="001219B2" w:rsidP="001219B2">
      <w:pPr>
        <w:widowControl w:val="0"/>
        <w:jc w:val="center"/>
      </w:pPr>
      <w:bookmarkStart w:id="0" w:name="_GoBack"/>
      <w:bookmarkEnd w:id="0"/>
      <w:r w:rsidRPr="001219B2">
        <w:rPr>
          <w:b/>
        </w:rPr>
        <w:t>South Carolina General Assembly</w:t>
      </w:r>
    </w:p>
    <w:p w:rsidR="001219B2" w:rsidRDefault="001219B2" w:rsidP="001219B2">
      <w:pPr>
        <w:widowControl w:val="0"/>
        <w:jc w:val="center"/>
      </w:pPr>
      <w:r>
        <w:t>118th Session, 2009-2010</w:t>
      </w:r>
    </w:p>
    <w:p w:rsidR="001219B2" w:rsidRDefault="001219B2" w:rsidP="001219B2">
      <w:pPr>
        <w:widowControl w:val="0"/>
      </w:pPr>
    </w:p>
    <w:p w:rsidR="001219B2" w:rsidRDefault="001219B2" w:rsidP="001219B2">
      <w:pPr>
        <w:widowControl w:val="0"/>
        <w:rPr>
          <w:b/>
        </w:rPr>
      </w:pPr>
      <w:r w:rsidRPr="001219B2">
        <w:rPr>
          <w:b/>
        </w:rPr>
        <w:t>S.</w:t>
      </w:r>
      <w:r>
        <w:rPr>
          <w:b/>
        </w:rPr>
        <w:t xml:space="preserve"> </w:t>
      </w:r>
      <w:r w:rsidRPr="001219B2">
        <w:rPr>
          <w:b/>
        </w:rPr>
        <w:t>1160</w:t>
      </w:r>
    </w:p>
    <w:p w:rsidR="001219B2" w:rsidRDefault="001219B2" w:rsidP="001219B2">
      <w:pPr>
        <w:widowControl w:val="0"/>
        <w:rPr>
          <w:b/>
        </w:rPr>
      </w:pPr>
    </w:p>
    <w:p w:rsidR="001219B2" w:rsidRDefault="001219B2" w:rsidP="001219B2">
      <w:pPr>
        <w:widowControl w:val="0"/>
      </w:pPr>
      <w:r w:rsidRPr="001219B2">
        <w:rPr>
          <w:b/>
        </w:rPr>
        <w:t>STATUS INFORMATION</w:t>
      </w:r>
    </w:p>
    <w:p w:rsidR="001219B2" w:rsidRDefault="001219B2" w:rsidP="001219B2">
      <w:pPr>
        <w:widowControl w:val="0"/>
      </w:pPr>
    </w:p>
    <w:p w:rsidR="001219B2" w:rsidRDefault="001219B2" w:rsidP="001219B2">
      <w:pPr>
        <w:widowControl w:val="0"/>
      </w:pPr>
      <w:r>
        <w:t>General Bill</w:t>
      </w:r>
    </w:p>
    <w:p w:rsidR="001219B2" w:rsidRDefault="001219B2" w:rsidP="001219B2">
      <w:pPr>
        <w:widowControl w:val="0"/>
      </w:pPr>
      <w:r>
        <w:t>Sponsors: Senator Rose</w:t>
      </w:r>
    </w:p>
    <w:p w:rsidR="001219B2" w:rsidRDefault="001219B2" w:rsidP="001219B2">
      <w:pPr>
        <w:widowControl w:val="0"/>
      </w:pPr>
      <w:r>
        <w:t>Document Path: l:\s-jud\bills\rose\jud0044.pb.docx</w:t>
      </w:r>
    </w:p>
    <w:p w:rsidR="001219B2" w:rsidRDefault="001219B2" w:rsidP="001219B2">
      <w:pPr>
        <w:widowControl w:val="0"/>
      </w:pPr>
    </w:p>
    <w:p w:rsidR="001219B2" w:rsidRDefault="001219B2" w:rsidP="001219B2">
      <w:pPr>
        <w:widowControl w:val="0"/>
      </w:pPr>
      <w:r>
        <w:t>Introduced in the Senate on February 10, 2010</w:t>
      </w:r>
    </w:p>
    <w:p w:rsidR="001219B2" w:rsidRDefault="001219B2" w:rsidP="001219B2">
      <w:pPr>
        <w:widowControl w:val="0"/>
      </w:pPr>
      <w:r>
        <w:t xml:space="preserve">Currently residing in the Senate Committee on </w:t>
      </w:r>
      <w:r w:rsidRPr="001219B2">
        <w:rPr>
          <w:b/>
        </w:rPr>
        <w:t>Finance</w:t>
      </w:r>
    </w:p>
    <w:p w:rsidR="001219B2" w:rsidRDefault="001219B2" w:rsidP="001219B2">
      <w:pPr>
        <w:widowControl w:val="0"/>
      </w:pPr>
    </w:p>
    <w:p w:rsidR="001219B2" w:rsidRDefault="001219B2" w:rsidP="001219B2">
      <w:pPr>
        <w:widowControl w:val="0"/>
      </w:pPr>
      <w:r>
        <w:t xml:space="preserve">Summary: </w:t>
      </w:r>
      <w:r w:rsidR="00CA4958">
        <w:t>Assessment ratio</w:t>
      </w:r>
    </w:p>
    <w:p w:rsidR="001219B2" w:rsidRDefault="001219B2" w:rsidP="001219B2">
      <w:pPr>
        <w:widowControl w:val="0"/>
      </w:pPr>
    </w:p>
    <w:p w:rsidR="001219B2" w:rsidRDefault="001219B2" w:rsidP="001219B2">
      <w:pPr>
        <w:widowControl w:val="0"/>
      </w:pPr>
    </w:p>
    <w:p w:rsidR="001219B2" w:rsidRDefault="001219B2" w:rsidP="001219B2">
      <w:pPr>
        <w:widowControl w:val="0"/>
        <w:tabs>
          <w:tab w:val="center" w:pos="590"/>
          <w:tab w:val="center" w:pos="1440"/>
          <w:tab w:val="left" w:pos="1872"/>
          <w:tab w:val="left" w:pos="9187"/>
        </w:tabs>
      </w:pPr>
      <w:r w:rsidRPr="001219B2">
        <w:rPr>
          <w:b/>
        </w:rPr>
        <w:t>HISTORY OF LEGISLATIVE ACTIONS</w:t>
      </w:r>
    </w:p>
    <w:p w:rsidR="001219B2" w:rsidRDefault="001219B2" w:rsidP="001219B2">
      <w:pPr>
        <w:widowControl w:val="0"/>
        <w:tabs>
          <w:tab w:val="center" w:pos="590"/>
          <w:tab w:val="center" w:pos="1440"/>
          <w:tab w:val="left" w:pos="1872"/>
          <w:tab w:val="left" w:pos="9187"/>
        </w:tabs>
      </w:pPr>
    </w:p>
    <w:p w:rsidR="001219B2" w:rsidRPr="001219B2" w:rsidRDefault="001219B2" w:rsidP="001219B2">
      <w:pPr>
        <w:widowControl w:val="0"/>
        <w:tabs>
          <w:tab w:val="center" w:pos="590"/>
          <w:tab w:val="center" w:pos="1440"/>
          <w:tab w:val="left" w:pos="1872"/>
          <w:tab w:val="left" w:pos="9187"/>
        </w:tabs>
      </w:pPr>
      <w:r w:rsidRPr="001219B2">
        <w:rPr>
          <w:u w:val="single"/>
        </w:rPr>
        <w:tab/>
        <w:t>Date</w:t>
      </w:r>
      <w:r w:rsidRPr="001219B2">
        <w:rPr>
          <w:u w:val="single"/>
        </w:rPr>
        <w:tab/>
        <w:t>Body</w:t>
      </w:r>
      <w:r w:rsidRPr="001219B2">
        <w:rPr>
          <w:u w:val="single"/>
        </w:rPr>
        <w:tab/>
        <w:t>Action Description with journal page number</w:t>
      </w:r>
      <w:r w:rsidRPr="001219B2">
        <w:rPr>
          <w:u w:val="single"/>
        </w:rPr>
        <w:tab/>
      </w:r>
    </w:p>
    <w:p w:rsidR="00FA0175" w:rsidRDefault="00FA0175" w:rsidP="00FA0175">
      <w:pPr>
        <w:widowControl w:val="0"/>
        <w:tabs>
          <w:tab w:val="right" w:pos="1008"/>
          <w:tab w:val="left" w:pos="1152"/>
          <w:tab w:val="left" w:pos="1872"/>
          <w:tab w:val="left" w:pos="9187"/>
        </w:tabs>
        <w:ind w:left="2088" w:hanging="2088"/>
      </w:pPr>
      <w:r>
        <w:tab/>
        <w:t>2/10/2010</w:t>
      </w:r>
      <w:r>
        <w:tab/>
        <w:t>Senate</w:t>
      </w:r>
      <w:r>
        <w:tab/>
      </w:r>
      <w:r w:rsidRPr="007419C0">
        <w:t xml:space="preserve">Introduced and read first time </w:t>
      </w:r>
      <w:hyperlink r:id="rId6" w:history="1">
        <w:r w:rsidRPr="009E444A">
          <w:rPr>
            <w:rStyle w:val="Hyperlink"/>
          </w:rPr>
          <w:t>SJ</w:t>
        </w:r>
      </w:hyperlink>
      <w:r>
        <w:noBreakHyphen/>
      </w:r>
      <w:r w:rsidRPr="007419C0">
        <w:t>4</w:t>
      </w:r>
    </w:p>
    <w:p w:rsidR="00FA0175" w:rsidRDefault="00FA0175" w:rsidP="00FA0175">
      <w:pPr>
        <w:widowControl w:val="0"/>
        <w:tabs>
          <w:tab w:val="right" w:pos="1008"/>
          <w:tab w:val="left" w:pos="1152"/>
          <w:tab w:val="left" w:pos="1872"/>
          <w:tab w:val="left" w:pos="9187"/>
        </w:tabs>
        <w:ind w:left="2088" w:hanging="2088"/>
      </w:pPr>
      <w:r>
        <w:tab/>
        <w:t>2/10/2010</w:t>
      </w:r>
      <w:r>
        <w:tab/>
        <w:t>Senate</w:t>
      </w:r>
      <w:r>
        <w:tab/>
      </w:r>
      <w:r w:rsidRPr="007419C0">
        <w:t xml:space="preserve">Referred to Committee on </w:t>
      </w:r>
      <w:r w:rsidRPr="007419C0">
        <w:rPr>
          <w:b/>
        </w:rPr>
        <w:t>Finance</w:t>
      </w:r>
      <w:r w:rsidRPr="007419C0">
        <w:t xml:space="preserve"> </w:t>
      </w:r>
      <w:hyperlink r:id="rId7" w:history="1">
        <w:r w:rsidRPr="009E444A">
          <w:rPr>
            <w:rStyle w:val="Hyperlink"/>
          </w:rPr>
          <w:t>SJ</w:t>
        </w:r>
      </w:hyperlink>
      <w:r>
        <w:noBreakHyphen/>
      </w:r>
      <w:r w:rsidRPr="007419C0">
        <w:t>4</w:t>
      </w:r>
    </w:p>
    <w:p w:rsidR="00FA0175" w:rsidRDefault="00FA0175" w:rsidP="00FA0175">
      <w:pPr>
        <w:widowControl w:val="0"/>
        <w:tabs>
          <w:tab w:val="right" w:pos="1008"/>
          <w:tab w:val="left" w:pos="1152"/>
          <w:tab w:val="left" w:pos="1872"/>
          <w:tab w:val="left" w:pos="9187"/>
        </w:tabs>
        <w:ind w:left="2088" w:hanging="2088"/>
      </w:pPr>
    </w:p>
    <w:p w:rsidR="001219B2" w:rsidRPr="001219B2" w:rsidRDefault="001219B2" w:rsidP="001219B2">
      <w:pPr>
        <w:widowControl w:val="0"/>
        <w:tabs>
          <w:tab w:val="right" w:pos="1008"/>
          <w:tab w:val="left" w:pos="1152"/>
          <w:tab w:val="left" w:pos="1872"/>
          <w:tab w:val="left" w:pos="9187"/>
        </w:tabs>
        <w:ind w:left="2088" w:hanging="2088"/>
      </w:pPr>
    </w:p>
    <w:p w:rsidR="001219B2" w:rsidRDefault="001219B2" w:rsidP="001219B2">
      <w:pPr>
        <w:widowControl w:val="0"/>
      </w:pPr>
      <w:r w:rsidRPr="001219B2">
        <w:rPr>
          <w:b/>
        </w:rPr>
        <w:t>VERSIONS OF THIS BILL</w:t>
      </w:r>
    </w:p>
    <w:p w:rsidR="001219B2" w:rsidRDefault="001219B2" w:rsidP="001219B2">
      <w:pPr>
        <w:widowControl w:val="0"/>
      </w:pPr>
    </w:p>
    <w:p w:rsidR="001219B2" w:rsidRDefault="000115AA" w:rsidP="001219B2">
      <w:pPr>
        <w:widowControl w:val="0"/>
      </w:pPr>
      <w:hyperlink r:id="rId8" w:history="1">
        <w:r w:rsidR="001219B2">
          <w:rPr>
            <w:rStyle w:val="Hyperlink"/>
          </w:rPr>
          <w:t>2/10/2010</w:t>
        </w:r>
      </w:hyperlink>
    </w:p>
    <w:p w:rsidR="001219B2" w:rsidRDefault="001219B2" w:rsidP="001219B2"/>
    <w:p w:rsidR="001219B2" w:rsidRDefault="001219B2" w:rsidP="001219B2">
      <w:pPr>
        <w:sectPr w:rsidR="001219B2" w:rsidSect="001219B2">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F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83D2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37EC9" w:rsidRDefault="00537EC9" w:rsidP="00537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2D44AB">
        <w:rPr>
          <w:rFonts w:eastAsia="Times New Roman"/>
          <w:snapToGrid w:val="0"/>
          <w:color w:val="000000" w:themeColor="text1"/>
          <w:szCs w:val="20"/>
          <w:u w:color="000000" w:themeColor="text1"/>
        </w:rPr>
        <w:t>TO AMEND SECTION 12</w:t>
      </w:r>
      <w:r w:rsidRPr="002D44AB">
        <w:rPr>
          <w:rFonts w:eastAsia="Times New Roman"/>
          <w:snapToGrid w:val="0"/>
          <w:color w:val="000000" w:themeColor="text1"/>
          <w:szCs w:val="20"/>
          <w:u w:color="000000" w:themeColor="text1"/>
        </w:rPr>
        <w:noBreakHyphen/>
        <w:t>43</w:t>
      </w:r>
      <w:r w:rsidRPr="002D44AB">
        <w:rPr>
          <w:rFonts w:eastAsia="Times New Roman"/>
          <w:snapToGrid w:val="0"/>
          <w:color w:val="000000" w:themeColor="text1"/>
          <w:szCs w:val="20"/>
          <w:u w:color="000000" w:themeColor="text1"/>
        </w:rPr>
        <w:noBreakHyphen/>
      </w:r>
      <w:r>
        <w:rPr>
          <w:rFonts w:eastAsia="Times New Roman"/>
          <w:snapToGrid w:val="0"/>
          <w:color w:val="000000" w:themeColor="text1"/>
          <w:szCs w:val="20"/>
          <w:u w:color="000000" w:themeColor="text1"/>
        </w:rPr>
        <w:t>220</w:t>
      </w:r>
      <w:r w:rsidRPr="002D44AB">
        <w:rPr>
          <w:rFonts w:eastAsia="Times New Roman"/>
          <w:snapToGrid w:val="0"/>
          <w:color w:val="000000" w:themeColor="text1"/>
          <w:szCs w:val="20"/>
          <w:u w:color="000000" w:themeColor="text1"/>
        </w:rPr>
        <w:t xml:space="preserve"> OF THE</w:t>
      </w:r>
      <w:r>
        <w:rPr>
          <w:rFonts w:eastAsia="Times New Roman"/>
          <w:snapToGrid w:val="0"/>
          <w:color w:val="000000" w:themeColor="text1"/>
          <w:szCs w:val="20"/>
          <w:u w:color="000000" w:themeColor="text1"/>
        </w:rPr>
        <w:t xml:space="preserve"> SOUTH CAROLINA CODE OF LAWS, </w:t>
      </w:r>
      <w:r w:rsidRPr="002D44AB">
        <w:rPr>
          <w:rFonts w:eastAsia="Times New Roman"/>
          <w:snapToGrid w:val="0"/>
          <w:color w:val="000000" w:themeColor="text1"/>
          <w:szCs w:val="20"/>
          <w:u w:color="000000" w:themeColor="text1"/>
        </w:rPr>
        <w:t xml:space="preserve">1976, AS AMENDED, RELATING TO CLASSIFICATIONS FOR ASSESSMENT RATIOS, SO AS TO PROVIDE THAT, UNDER CERTAIN CIRCUMSTANCES, </w:t>
      </w:r>
      <w:r w:rsidRPr="002D44AB">
        <w:rPr>
          <w:color w:val="000000" w:themeColor="text1"/>
          <w:u w:color="000000" w:themeColor="text1"/>
        </w:rPr>
        <w:t>A TAXPAYER MAY CLAIM THE FOUR PERCENT ASSESSMENT RATIO ALLOWED BY THIS SECTION FOR TWO RESIDENTIAL PROPERTIES LOCATED IN THE STATE IF THE SECOND RESIDENCE WAS PURCHASED AS A RESULT OF A CHANGE IN THE LOCATION OF A TAXPAYER’S JOB.</w:t>
      </w:r>
    </w:p>
    <w:p w:rsidR="00283D2E" w:rsidRDefault="00283D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83D2E" w:rsidRDefault="00283D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83D2E" w:rsidRDefault="00283D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EC9" w:rsidRPr="002D44AB" w:rsidRDefault="00537EC9" w:rsidP="00537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44AB">
        <w:rPr>
          <w:rFonts w:eastAsia="Times New Roman"/>
          <w:snapToGrid w:val="0"/>
          <w:color w:val="000000" w:themeColor="text1"/>
          <w:szCs w:val="20"/>
          <w:u w:color="000000" w:themeColor="text1"/>
        </w:rPr>
        <w:t>SECTION</w:t>
      </w:r>
      <w:r w:rsidRPr="002D44AB">
        <w:rPr>
          <w:rFonts w:eastAsia="Times New Roman"/>
          <w:snapToGrid w:val="0"/>
          <w:color w:val="000000" w:themeColor="text1"/>
          <w:szCs w:val="20"/>
          <w:u w:color="000000" w:themeColor="text1"/>
        </w:rPr>
        <w:tab/>
        <w:t>1.</w:t>
      </w:r>
      <w:r w:rsidRPr="002D44AB">
        <w:rPr>
          <w:rFonts w:eastAsia="Times New Roman"/>
          <w:snapToGrid w:val="0"/>
          <w:color w:val="000000" w:themeColor="text1"/>
          <w:szCs w:val="20"/>
          <w:u w:color="000000" w:themeColor="text1"/>
        </w:rPr>
        <w:tab/>
      </w:r>
      <w:r w:rsidRPr="002D44AB">
        <w:rPr>
          <w:color w:val="000000" w:themeColor="text1"/>
          <w:u w:color="000000" w:themeColor="text1"/>
        </w:rPr>
        <w:t>Section 12</w:t>
      </w:r>
      <w:r w:rsidRPr="002D44AB">
        <w:rPr>
          <w:color w:val="000000" w:themeColor="text1"/>
          <w:u w:color="000000" w:themeColor="text1"/>
        </w:rPr>
        <w:noBreakHyphen/>
        <w:t>43</w:t>
      </w:r>
      <w:r w:rsidRPr="002D44AB">
        <w:rPr>
          <w:color w:val="000000" w:themeColor="text1"/>
          <w:u w:color="000000" w:themeColor="text1"/>
        </w:rPr>
        <w:noBreakHyphen/>
        <w:t>220(c) is amended by adding an appropriately numbered subitem at the end to read:</w:t>
      </w:r>
    </w:p>
    <w:p w:rsidR="00537EC9" w:rsidRPr="002D44AB" w:rsidRDefault="00537EC9" w:rsidP="00537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7EC9" w:rsidRPr="002D44AB" w:rsidRDefault="00537EC9" w:rsidP="00537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44AB">
        <w:rPr>
          <w:color w:val="000000" w:themeColor="text1"/>
          <w:u w:color="000000" w:themeColor="text1"/>
        </w:rPr>
        <w:tab/>
        <w:t>“(  )(i)</w:t>
      </w:r>
      <w:r w:rsidRPr="002D44AB">
        <w:rPr>
          <w:color w:val="000000" w:themeColor="text1"/>
          <w:u w:color="000000" w:themeColor="text1"/>
        </w:rPr>
        <w:tab/>
        <w:t xml:space="preserve">Notwithstanding any other provision of law, a taxpayer may claim the four percent assessment ratio allowed by this section for two residential properties located in the State if the second residence was purchased as a result of a change in the location of a taxpayer’s job.  </w:t>
      </w:r>
    </w:p>
    <w:p w:rsidR="00537EC9" w:rsidRPr="002D44AB" w:rsidRDefault="00537EC9" w:rsidP="00537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44AB">
        <w:rPr>
          <w:color w:val="000000" w:themeColor="text1"/>
          <w:u w:color="000000" w:themeColor="text1"/>
        </w:rPr>
        <w:tab/>
      </w:r>
      <w:r w:rsidRPr="002D44AB">
        <w:rPr>
          <w:color w:val="000000" w:themeColor="text1"/>
          <w:u w:color="000000" w:themeColor="text1"/>
        </w:rPr>
        <w:tab/>
      </w:r>
      <w:r w:rsidRPr="002D44AB">
        <w:rPr>
          <w:color w:val="000000" w:themeColor="text1"/>
          <w:u w:color="000000" w:themeColor="text1"/>
        </w:rPr>
        <w:tab/>
        <w:t>(ii)</w:t>
      </w:r>
      <w:r w:rsidRPr="002D44AB">
        <w:rPr>
          <w:color w:val="000000" w:themeColor="text1"/>
          <w:u w:color="000000" w:themeColor="text1"/>
        </w:rPr>
        <w:tab/>
        <w:t>To qualify for the four percent assessment ratio on both residences, the taxpayer’s first residence must be at least one hundred fifty miles from the location of the taxpayer’s place of business and the taxpayer’s second residence.  Also, the four percent assessment ratio may not be claimed on both residences for more than five property tax years.</w:t>
      </w:r>
    </w:p>
    <w:p w:rsidR="00537EC9" w:rsidRPr="002D44AB" w:rsidRDefault="00537EC9" w:rsidP="00537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44AB">
        <w:rPr>
          <w:color w:val="000000" w:themeColor="text1"/>
          <w:u w:color="000000" w:themeColor="text1"/>
        </w:rPr>
        <w:tab/>
      </w:r>
      <w:r w:rsidRPr="002D44AB">
        <w:rPr>
          <w:color w:val="000000" w:themeColor="text1"/>
          <w:u w:color="000000" w:themeColor="text1"/>
        </w:rPr>
        <w:tab/>
      </w:r>
      <w:r w:rsidRPr="002D44AB">
        <w:rPr>
          <w:color w:val="000000" w:themeColor="text1"/>
          <w:u w:color="000000" w:themeColor="text1"/>
        </w:rPr>
        <w:tab/>
        <w:t>(iii)</w:t>
      </w:r>
      <w:r w:rsidRPr="002D44AB">
        <w:rPr>
          <w:color w:val="000000" w:themeColor="text1"/>
          <w:u w:color="000000" w:themeColor="text1"/>
        </w:rPr>
        <w:tab/>
        <w:t xml:space="preserve">This subitem does not apply unless the owner of the properties or the owner’s agent applies for the four percent assessment ratio on both residences before the first penalty date for the payment of taxes for the tax year for which the owner first </w:t>
      </w:r>
      <w:r w:rsidRPr="002D44AB">
        <w:rPr>
          <w:color w:val="000000" w:themeColor="text1"/>
          <w:u w:color="000000" w:themeColor="text1"/>
        </w:rPr>
        <w:lastRenderedPageBreak/>
        <w:t>claims eligibility for this assessment ratio.  The burden of proof for eligibility for four percent assessment ratio on both residences is on the taxpayer.  The taxpayer must provide proof the assessor requires, including, but not limited to, a copy of the owner’s most recently filed South Carolina individual income tax return, copies of South Carolina motor vehicle registrations for all motor vehicles registered in the name of the owner, and other proof required by the assessor necessary to determine eligibility for the assessment ratio allowed by this subitem.”</w:t>
      </w:r>
    </w:p>
    <w:p w:rsidR="00537EC9" w:rsidRPr="002D44AB" w:rsidRDefault="00537EC9" w:rsidP="00537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7EC9" w:rsidRPr="002D44AB" w:rsidRDefault="00537EC9" w:rsidP="00537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44AB">
        <w:rPr>
          <w:color w:val="000000" w:themeColor="text1"/>
          <w:spacing w:val="-2"/>
          <w:u w:color="000000" w:themeColor="text1"/>
        </w:rPr>
        <w:t>SECTION</w:t>
      </w:r>
      <w:r w:rsidRPr="002D44AB">
        <w:rPr>
          <w:color w:val="000000" w:themeColor="text1"/>
          <w:spacing w:val="-2"/>
          <w:u w:color="000000" w:themeColor="text1"/>
        </w:rPr>
        <w:tab/>
        <w:t>2.</w:t>
      </w:r>
      <w:r w:rsidRPr="002D44AB">
        <w:rPr>
          <w:color w:val="000000" w:themeColor="text1"/>
          <w:spacing w:val="-2"/>
          <w:u w:color="000000" w:themeColor="text1"/>
        </w:rPr>
        <w:tab/>
        <w:t xml:space="preserve">This act takes effect upon approval by the Governor and applies for </w:t>
      </w:r>
      <w:r w:rsidRPr="002D44AB">
        <w:rPr>
          <w:color w:val="000000" w:themeColor="text1"/>
          <w:u w:color="000000" w:themeColor="text1"/>
        </w:rPr>
        <w:t>property tax years beginning after 2009.</w:t>
      </w:r>
    </w:p>
    <w:p w:rsidR="007F156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F1562" w:rsidRDefault="007F1562" w:rsidP="001219B2">
      <w:pPr>
        <w:suppressAutoHyphens/>
        <w:jc w:val="both"/>
        <w:rPr>
          <w:rFonts w:eastAsia="Times New Roman"/>
        </w:rPr>
      </w:pPr>
    </w:p>
    <w:sectPr w:rsidR="007F1562" w:rsidSect="001219B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3D2E" w:rsidRDefault="00283D2E" w:rsidP="00522CE0">
      <w:r>
        <w:separator/>
      </w:r>
    </w:p>
  </w:endnote>
  <w:endnote w:type="continuationSeparator" w:id="0">
    <w:p w:rsidR="00283D2E" w:rsidRDefault="00283D2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A0C6F48-17E9-493C-98CD-76E28ACEC022}"/>
    <w:embedBold r:id="rId2" w:fontKey="{8E8B9FF9-5FEE-4B15-B5BC-F3387CF4F312}"/>
  </w:font>
  <w:font w:name="Calibri">
    <w:panose1 w:val="020F0502020204030204"/>
    <w:charset w:val="00"/>
    <w:family w:val="swiss"/>
    <w:pitch w:val="variable"/>
    <w:sig w:usb0="E10002FF" w:usb1="4000ACFF" w:usb2="00000009" w:usb3="00000000" w:csb0="0000019F" w:csb1="00000000"/>
    <w:embedRegular r:id="rId3" w:fontKey="{84D6E2D8-A4FB-4773-86D0-79B12F16D3DF}"/>
    <w:embedBold r:id="rId4" w:fontKey="{1EFF4EB0-A637-4FD2-AA34-AA11BFF3CB6C}"/>
  </w:font>
  <w:font w:name="Cambria">
    <w:panose1 w:val="02040503050406030204"/>
    <w:charset w:val="00"/>
    <w:family w:val="roman"/>
    <w:pitch w:val="variable"/>
    <w:sig w:usb0="E00002FF" w:usb1="400004FF" w:usb2="00000000" w:usb3="00000000" w:csb0="0000019F" w:csb1="00000000"/>
    <w:embedRegular r:id="rId5" w:fontKey="{80F6359B-C5F0-488D-BA2D-215EFCC208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9B2" w:rsidRPr="007F1562" w:rsidRDefault="001219B2" w:rsidP="007F1562">
    <w:pPr>
      <w:pStyle w:val="Footer"/>
      <w:tabs>
        <w:tab w:val="clear" w:pos="4680"/>
        <w:tab w:val="clear" w:pos="9360"/>
        <w:tab w:val="center" w:pos="2995"/>
      </w:tabs>
      <w:spacing w:before="120"/>
    </w:pPr>
    <w:r>
      <w:t>[1160]</w:t>
    </w:r>
    <w:r>
      <w:tab/>
    </w:r>
    <w:r w:rsidR="000115AA">
      <w:fldChar w:fldCharType="begin"/>
    </w:r>
    <w:r w:rsidR="000115AA">
      <w:instrText xml:space="preserve"> PAGE  \* MERGEFORMAT </w:instrText>
    </w:r>
    <w:r w:rsidR="000115AA">
      <w:fldChar w:fldCharType="separate"/>
    </w:r>
    <w:r w:rsidR="000115AA">
      <w:rPr>
        <w:noProof/>
      </w:rPr>
      <w:t>1</w:t>
    </w:r>
    <w:r w:rsidR="000115A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3D2E" w:rsidRDefault="00283D2E" w:rsidP="00522CE0">
      <w:r>
        <w:separator/>
      </w:r>
    </w:p>
  </w:footnote>
  <w:footnote w:type="continuationSeparator" w:id="0">
    <w:p w:rsidR="00283D2E" w:rsidRDefault="00283D2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3905"/>
  </w:hdrShapeDefaults>
  <w:footnotePr>
    <w:footnote w:id="-1"/>
    <w:footnote w:id="0"/>
  </w:footnotePr>
  <w:endnotePr>
    <w:endnote w:id="-1"/>
    <w:endnote w:id="0"/>
  </w:endnotePr>
  <w:compat>
    <w:compatSetting w:name="compatibilityMode" w:uri="http://schemas.microsoft.com/office/word" w:val="12"/>
  </w:compat>
  <w:docVars>
    <w:docVar w:name="clipname" w:val="JUD0044.PB"/>
    <w:docVar w:name="CoverAttorneyInitials" w:val="PB"/>
    <w:docVar w:name="CoverAttorneyLastName" w:val="Benson"/>
    <w:docVar w:name="CoverBillType" w:val="b"/>
    <w:docVar w:name="DraftFileName" w:val="JUD0044.PB.DOCX"/>
    <w:docVar w:name="DraftStenoName" w:val="Craft"/>
    <w:docVar w:name="dvBillNumber" w:val="1160"/>
    <w:docVar w:name="dvBillNumberPrefix" w:val="S. "/>
    <w:docVar w:name="dvOriginalBody" w:val="Senate"/>
    <w:docVar w:name="fulldraftpath" w:val="L:\S-JUD\BILLS\Rose\JUD0044.PB.DOCX"/>
    <w:docVar w:name="NameofBody" w:val="S"/>
    <w:docVar w:name="SenatorFolderName" w:val="Rose"/>
    <w:docVar w:name="VGROUP2" w:val="S-JUD"/>
  </w:docVars>
  <w:rsids>
    <w:rsidRoot w:val="00A76F4A"/>
    <w:rsid w:val="000115AA"/>
    <w:rsid w:val="000141EB"/>
    <w:rsid w:val="00042AC1"/>
    <w:rsid w:val="00046516"/>
    <w:rsid w:val="00076E20"/>
    <w:rsid w:val="00083A31"/>
    <w:rsid w:val="000A4D08"/>
    <w:rsid w:val="000A6988"/>
    <w:rsid w:val="000B0720"/>
    <w:rsid w:val="000B5EAF"/>
    <w:rsid w:val="000E473B"/>
    <w:rsid w:val="000F002B"/>
    <w:rsid w:val="00107C3D"/>
    <w:rsid w:val="00114324"/>
    <w:rsid w:val="001219B2"/>
    <w:rsid w:val="00126995"/>
    <w:rsid w:val="0016543B"/>
    <w:rsid w:val="00170561"/>
    <w:rsid w:val="00186AC9"/>
    <w:rsid w:val="00190F47"/>
    <w:rsid w:val="00197DF1"/>
    <w:rsid w:val="001B3DD9"/>
    <w:rsid w:val="001D3BAC"/>
    <w:rsid w:val="00206D3D"/>
    <w:rsid w:val="0024519E"/>
    <w:rsid w:val="00245C4E"/>
    <w:rsid w:val="00283D2E"/>
    <w:rsid w:val="002C5896"/>
    <w:rsid w:val="00307C2B"/>
    <w:rsid w:val="00311497"/>
    <w:rsid w:val="0031409E"/>
    <w:rsid w:val="00333DF1"/>
    <w:rsid w:val="0033541C"/>
    <w:rsid w:val="00364389"/>
    <w:rsid w:val="003D6A5D"/>
    <w:rsid w:val="003D6E2B"/>
    <w:rsid w:val="003E7597"/>
    <w:rsid w:val="004079A9"/>
    <w:rsid w:val="00450668"/>
    <w:rsid w:val="00452CD7"/>
    <w:rsid w:val="00477696"/>
    <w:rsid w:val="004952FA"/>
    <w:rsid w:val="004B6A22"/>
    <w:rsid w:val="004D168C"/>
    <w:rsid w:val="004D6923"/>
    <w:rsid w:val="004D7F37"/>
    <w:rsid w:val="0051584C"/>
    <w:rsid w:val="00520D79"/>
    <w:rsid w:val="00522CE0"/>
    <w:rsid w:val="00537EC9"/>
    <w:rsid w:val="00541FF6"/>
    <w:rsid w:val="00565148"/>
    <w:rsid w:val="00581497"/>
    <w:rsid w:val="00586B30"/>
    <w:rsid w:val="0058748C"/>
    <w:rsid w:val="00593361"/>
    <w:rsid w:val="005A5017"/>
    <w:rsid w:val="005A648C"/>
    <w:rsid w:val="005E72F3"/>
    <w:rsid w:val="005F15E4"/>
    <w:rsid w:val="00606D23"/>
    <w:rsid w:val="00641A16"/>
    <w:rsid w:val="006431BA"/>
    <w:rsid w:val="00661805"/>
    <w:rsid w:val="006B4B3C"/>
    <w:rsid w:val="006C74EA"/>
    <w:rsid w:val="006D451A"/>
    <w:rsid w:val="00720D40"/>
    <w:rsid w:val="007318D4"/>
    <w:rsid w:val="00746551"/>
    <w:rsid w:val="00765784"/>
    <w:rsid w:val="007A4390"/>
    <w:rsid w:val="007C65B0"/>
    <w:rsid w:val="007E3B8F"/>
    <w:rsid w:val="007E5CB7"/>
    <w:rsid w:val="007F1562"/>
    <w:rsid w:val="008314D2"/>
    <w:rsid w:val="008804AE"/>
    <w:rsid w:val="008B2F42"/>
    <w:rsid w:val="008E185F"/>
    <w:rsid w:val="008E5870"/>
    <w:rsid w:val="008F023B"/>
    <w:rsid w:val="008F7524"/>
    <w:rsid w:val="00904E16"/>
    <w:rsid w:val="00927C62"/>
    <w:rsid w:val="00931A96"/>
    <w:rsid w:val="00983951"/>
    <w:rsid w:val="00984124"/>
    <w:rsid w:val="00984640"/>
    <w:rsid w:val="00995C37"/>
    <w:rsid w:val="009C118A"/>
    <w:rsid w:val="009E444A"/>
    <w:rsid w:val="009F2483"/>
    <w:rsid w:val="00A02011"/>
    <w:rsid w:val="00A35165"/>
    <w:rsid w:val="00A4011E"/>
    <w:rsid w:val="00A76F4A"/>
    <w:rsid w:val="00A76FCA"/>
    <w:rsid w:val="00A86015"/>
    <w:rsid w:val="00AE59C8"/>
    <w:rsid w:val="00B030B6"/>
    <w:rsid w:val="00B10098"/>
    <w:rsid w:val="00B10E10"/>
    <w:rsid w:val="00B35389"/>
    <w:rsid w:val="00B450FF"/>
    <w:rsid w:val="00B945C5"/>
    <w:rsid w:val="00BA20EA"/>
    <w:rsid w:val="00BC0A56"/>
    <w:rsid w:val="00C11F04"/>
    <w:rsid w:val="00C23348"/>
    <w:rsid w:val="00C6454A"/>
    <w:rsid w:val="00C74052"/>
    <w:rsid w:val="00CA4958"/>
    <w:rsid w:val="00CB187A"/>
    <w:rsid w:val="00CD7C71"/>
    <w:rsid w:val="00D1088B"/>
    <w:rsid w:val="00D156D2"/>
    <w:rsid w:val="00D77EC0"/>
    <w:rsid w:val="00D86943"/>
    <w:rsid w:val="00DA47B9"/>
    <w:rsid w:val="00E677A1"/>
    <w:rsid w:val="00E91E2F"/>
    <w:rsid w:val="00EA3546"/>
    <w:rsid w:val="00EB1AAC"/>
    <w:rsid w:val="00EB47AE"/>
    <w:rsid w:val="00EC34E1"/>
    <w:rsid w:val="00ED0AE1"/>
    <w:rsid w:val="00EE4EBB"/>
    <w:rsid w:val="00F0234A"/>
    <w:rsid w:val="00F52959"/>
    <w:rsid w:val="00F532D4"/>
    <w:rsid w:val="00F55884"/>
    <w:rsid w:val="00FA0175"/>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oNotEmbedSmartTags/>
  <w:decimalSymbol w:val="."/>
  <w:listSeparator w:val=","/>
  <w15:docId w15:val="{40B946EC-2CD5-4C98-835D-0E148BA22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1219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160_20100210.docx" TargetMode="External"/><Relationship Id="rId3" Type="http://schemas.openxmlformats.org/officeDocument/2006/relationships/webSettings" Target="webSettings.xml"/><Relationship Id="rId7" Type="http://schemas.openxmlformats.org/officeDocument/2006/relationships/hyperlink" Target="file:///h:\SJ%20Archive\2010\02-10-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2-10-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432</Words>
  <Characters>2277</Characters>
  <Application>Microsoft Office Word</Application>
  <DocSecurity>0</DocSecurity>
  <Lines>84</Lines>
  <Paragraphs>25</Paragraphs>
  <ScaleCrop>false</ScaleCrop>
  <Company> </Company>
  <LinksUpToDate>false</LinksUpToDate>
  <CharactersWithSpaces>2699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1160: Assessment ratio - South Carolina Legislature Online</dc:title>
  <dc:subject/>
  <dc:creator>SusanCraft</dc:creator>
  <cp:keywords/>
  <dc:description/>
  <cp:lastModifiedBy>N Cumfer</cp:lastModifiedBy>
  <cp:revision>7</cp:revision>
  <dcterms:created xsi:type="dcterms:W3CDTF">2010-02-10T19:35:00Z</dcterms:created>
  <dcterms:modified xsi:type="dcterms:W3CDTF">2014-11-24T15:12:00Z</dcterms:modified>
</cp:coreProperties>
</file>