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BA0633" w:rsidRDefault="00BA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 R56, S126</w:t>
      </w:r>
    </w:p>
    <w:p w:rsidR="00BA0633" w:rsidRDefault="00BA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BA0633" w:rsidRDefault="00BA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Sheheen and Elliott</w:t>
      </w: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l:\council\bills\swb\5641cm09.docx</w:t>
      </w:r>
    </w:p>
    <w:p w:rsidR="00BA0633" w:rsidRDefault="00BA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17, 2009</w:t>
      </w: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21, 2009</w:t>
      </w: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2009</w:t>
      </w: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BA0633" w:rsidRDefault="00BA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Special license tags</w:t>
      </w:r>
    </w:p>
    <w:p w:rsidR="00BA0633" w:rsidRDefault="00BA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0633" w:rsidRDefault="00BA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0633" w:rsidRDefault="008B2ADE">
      <w:pPr>
        <w:widowControl w:val="0"/>
        <w:tabs>
          <w:tab w:val="center" w:pos="590"/>
          <w:tab w:val="center" w:pos="1440"/>
          <w:tab w:val="left" w:pos="1872"/>
          <w:tab w:val="left" w:pos="9187"/>
        </w:tabs>
        <w:rPr>
          <w:rFonts w:cs="Times New Roman"/>
        </w:rPr>
      </w:pPr>
      <w:r>
        <w:rPr>
          <w:rFonts w:cs="Times New Roman"/>
          <w:b/>
        </w:rPr>
        <w:t>HISTORY OF LEGISLATIVE ACTIONS</w:t>
      </w:r>
    </w:p>
    <w:p w:rsidR="00BA0633" w:rsidRDefault="00BA0633">
      <w:pPr>
        <w:widowControl w:val="0"/>
        <w:tabs>
          <w:tab w:val="center" w:pos="590"/>
          <w:tab w:val="center" w:pos="1440"/>
          <w:tab w:val="left" w:pos="1872"/>
          <w:tab w:val="left" w:pos="9187"/>
        </w:tabs>
        <w:rPr>
          <w:rFonts w:cs="Times New Roman"/>
        </w:rPr>
      </w:pPr>
    </w:p>
    <w:p w:rsidR="00BA0633" w:rsidRDefault="008B2ADE">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t>Prefiled</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t xml:space="preserve">Referred to Committee on </w:t>
      </w:r>
      <w:r>
        <w:rPr>
          <w:rFonts w:cs="Times New Roman"/>
          <w:b/>
        </w:rPr>
        <w:t>Transportation</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Introduced and read first time </w:t>
      </w:r>
      <w:hyperlink r:id="rId6" w:history="1">
        <w:r w:rsidRPr="001D3AAF">
          <w:rPr>
            <w:rStyle w:val="Hyperlink"/>
            <w:rFonts w:cs="Times New Roman"/>
          </w:rPr>
          <w:t>SJ</w:t>
        </w:r>
      </w:hyperlink>
      <w:r>
        <w:rPr>
          <w:rFonts w:cs="Times New Roman"/>
        </w:rPr>
        <w:noBreakHyphen/>
        <w:t>128</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Referred to Committee on </w:t>
      </w:r>
      <w:r>
        <w:rPr>
          <w:rFonts w:cs="Times New Roman"/>
          <w:b/>
        </w:rPr>
        <w:t>Transportation</w:t>
      </w:r>
      <w:r>
        <w:rPr>
          <w:rFonts w:cs="Times New Roman"/>
        </w:rPr>
        <w:t xml:space="preserve"> </w:t>
      </w:r>
      <w:hyperlink r:id="rId7" w:history="1">
        <w:r w:rsidRPr="001D3AAF">
          <w:rPr>
            <w:rStyle w:val="Hyperlink"/>
            <w:rFonts w:cs="Times New Roman"/>
          </w:rPr>
          <w:t>SJ</w:t>
        </w:r>
      </w:hyperlink>
      <w:r>
        <w:rPr>
          <w:rFonts w:cs="Times New Roman"/>
        </w:rPr>
        <w:noBreakHyphen/>
        <w:t>128</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t xml:space="preserve">Committee report: Favorable </w:t>
      </w:r>
      <w:r>
        <w:rPr>
          <w:rFonts w:cs="Times New Roman"/>
          <w:b/>
        </w:rPr>
        <w:t>Transportation</w:t>
      </w:r>
      <w:r>
        <w:rPr>
          <w:rFonts w:cs="Times New Roman"/>
        </w:rPr>
        <w:t xml:space="preserve"> </w:t>
      </w:r>
      <w:hyperlink r:id="rId8" w:history="1">
        <w:r w:rsidRPr="001D3AAF">
          <w:rPr>
            <w:rStyle w:val="Hyperlink"/>
            <w:rFonts w:cs="Times New Roman"/>
          </w:rPr>
          <w:t>SJ</w:t>
        </w:r>
      </w:hyperlink>
      <w:r>
        <w:rPr>
          <w:rFonts w:cs="Times New Roman"/>
        </w:rPr>
        <w:noBreakHyphen/>
        <w:t>16</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t xml:space="preserve">Amended </w:t>
      </w:r>
      <w:hyperlink r:id="rId9" w:history="1">
        <w:r w:rsidRPr="001D3AAF">
          <w:rPr>
            <w:rStyle w:val="Hyperlink"/>
            <w:rFonts w:cs="Times New Roman"/>
          </w:rPr>
          <w:t>SJ</w:t>
        </w:r>
      </w:hyperlink>
      <w:r>
        <w:rPr>
          <w:rFonts w:cs="Times New Roman"/>
        </w:rPr>
        <w:noBreakHyphen/>
        <w:t>32</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t xml:space="preserve">Read second time </w:t>
      </w:r>
      <w:hyperlink r:id="rId10" w:history="1">
        <w:r w:rsidRPr="001D3AAF">
          <w:rPr>
            <w:rStyle w:val="Hyperlink"/>
            <w:rFonts w:cs="Times New Roman"/>
          </w:rPr>
          <w:t>SJ</w:t>
        </w:r>
      </w:hyperlink>
      <w:r>
        <w:rPr>
          <w:rFonts w:cs="Times New Roman"/>
        </w:rPr>
        <w:noBreakHyphen/>
        <w:t>32</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t xml:space="preserve">Read third time and sent to House </w:t>
      </w:r>
      <w:hyperlink r:id="rId11" w:history="1">
        <w:r w:rsidRPr="001D3AAF">
          <w:rPr>
            <w:rStyle w:val="Hyperlink"/>
            <w:rFonts w:cs="Times New Roman"/>
          </w:rPr>
          <w:t>SJ</w:t>
        </w:r>
      </w:hyperlink>
      <w:r>
        <w:rPr>
          <w:rFonts w:cs="Times New Roman"/>
        </w:rPr>
        <w:noBreakHyphen/>
        <w:t>11</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t xml:space="preserve">Introduced and read first time </w:t>
      </w:r>
      <w:hyperlink r:id="rId12" w:history="1">
        <w:r w:rsidRPr="001D3AAF">
          <w:rPr>
            <w:rStyle w:val="Hyperlink"/>
            <w:rFonts w:cs="Times New Roman"/>
          </w:rPr>
          <w:t>HJ</w:t>
        </w:r>
      </w:hyperlink>
      <w:r>
        <w:rPr>
          <w:rFonts w:cs="Times New Roman"/>
        </w:rPr>
        <w:noBreakHyphen/>
        <w:t>6</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t xml:space="preserve">Referred to Committee on </w:t>
      </w:r>
      <w:r>
        <w:rPr>
          <w:rFonts w:cs="Times New Roman"/>
          <w:b/>
        </w:rPr>
        <w:t>Education and Public Works</w:t>
      </w:r>
      <w:r>
        <w:rPr>
          <w:rFonts w:cs="Times New Roman"/>
        </w:rPr>
        <w:t xml:space="preserve"> </w:t>
      </w:r>
      <w:hyperlink r:id="rId13" w:history="1">
        <w:r w:rsidRPr="001D3AAF">
          <w:rPr>
            <w:rStyle w:val="Hyperlink"/>
            <w:rFonts w:cs="Times New Roman"/>
          </w:rPr>
          <w:t>HJ</w:t>
        </w:r>
      </w:hyperlink>
      <w:r>
        <w:rPr>
          <w:rFonts w:cs="Times New Roman"/>
        </w:rPr>
        <w:noBreakHyphen/>
        <w:t>7</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Committee report: Favorable with amendment </w:t>
      </w:r>
      <w:r>
        <w:rPr>
          <w:rFonts w:cs="Times New Roman"/>
          <w:b/>
        </w:rPr>
        <w:t>Education and Public Works</w:t>
      </w:r>
      <w:r>
        <w:rPr>
          <w:rFonts w:cs="Times New Roman"/>
        </w:rPr>
        <w:t xml:space="preserve"> </w:t>
      </w:r>
      <w:hyperlink r:id="rId14" w:history="1">
        <w:r w:rsidRPr="001D3AAF">
          <w:rPr>
            <w:rStyle w:val="Hyperlink"/>
            <w:rFonts w:cs="Times New Roman"/>
          </w:rPr>
          <w:t>HJ</w:t>
        </w:r>
      </w:hyperlink>
      <w:r>
        <w:rPr>
          <w:rFonts w:cs="Times New Roman"/>
        </w:rPr>
        <w:noBreakHyphen/>
        <w:t>3</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r>
      <w:r>
        <w:rPr>
          <w:rFonts w:cs="Times New Roman"/>
        </w:rPr>
        <w:tab/>
        <w:t>Scrivener's error corrected</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Debate adjourned until Thursday, April 30, 2009 </w:t>
      </w:r>
      <w:hyperlink r:id="rId15" w:history="1">
        <w:r w:rsidRPr="001D3AAF">
          <w:rPr>
            <w:rStyle w:val="Hyperlink"/>
            <w:rFonts w:cs="Times New Roman"/>
          </w:rPr>
          <w:t>HJ</w:t>
        </w:r>
      </w:hyperlink>
      <w:r>
        <w:rPr>
          <w:rFonts w:cs="Times New Roman"/>
        </w:rPr>
        <w:noBreakHyphen/>
        <w:t>213</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Amended </w:t>
      </w:r>
      <w:hyperlink r:id="rId16" w:history="1">
        <w:r w:rsidRPr="001D3AAF">
          <w:rPr>
            <w:rStyle w:val="Hyperlink"/>
            <w:rFonts w:cs="Times New Roman"/>
          </w:rPr>
          <w:t>HJ</w:t>
        </w:r>
      </w:hyperlink>
      <w:r>
        <w:rPr>
          <w:rFonts w:cs="Times New Roman"/>
        </w:rPr>
        <w:noBreakHyphen/>
        <w:t>23</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second time </w:t>
      </w:r>
      <w:hyperlink r:id="rId17" w:history="1">
        <w:r w:rsidRPr="001D3AAF">
          <w:rPr>
            <w:rStyle w:val="Hyperlink"/>
            <w:rFonts w:cs="Times New Roman"/>
          </w:rPr>
          <w:t>HJ</w:t>
        </w:r>
      </w:hyperlink>
      <w:r>
        <w:rPr>
          <w:rFonts w:cs="Times New Roman"/>
        </w:rPr>
        <w:noBreakHyphen/>
        <w:t>26</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Unanimous consent for third reading on next legislative day </w:t>
      </w:r>
      <w:hyperlink r:id="rId18" w:history="1">
        <w:r w:rsidRPr="001D3AAF">
          <w:rPr>
            <w:rStyle w:val="Hyperlink"/>
            <w:rFonts w:cs="Times New Roman"/>
          </w:rPr>
          <w:t>HJ</w:t>
        </w:r>
      </w:hyperlink>
      <w:r>
        <w:rPr>
          <w:rFonts w:cs="Times New Roman"/>
        </w:rPr>
        <w:noBreakHyphen/>
        <w:t>26</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5/1/2009</w:t>
      </w:r>
      <w:r>
        <w:rPr>
          <w:rFonts w:cs="Times New Roman"/>
        </w:rPr>
        <w:tab/>
        <w:t>House</w:t>
      </w:r>
      <w:r>
        <w:rPr>
          <w:rFonts w:cs="Times New Roman"/>
        </w:rPr>
        <w:tab/>
        <w:t xml:space="preserve">Read third time and returned to Senate with amendments </w:t>
      </w:r>
      <w:hyperlink r:id="rId19" w:history="1">
        <w:r w:rsidRPr="001D3AAF">
          <w:rPr>
            <w:rStyle w:val="Hyperlink"/>
            <w:rFonts w:cs="Times New Roman"/>
          </w:rPr>
          <w:t>HJ</w:t>
        </w:r>
      </w:hyperlink>
      <w:r>
        <w:rPr>
          <w:rFonts w:cs="Times New Roman"/>
        </w:rPr>
        <w:noBreakHyphen/>
        <w:t>5</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House amendment amended </w:t>
      </w:r>
      <w:hyperlink r:id="rId20" w:history="1">
        <w:r w:rsidRPr="001D3AAF">
          <w:rPr>
            <w:rStyle w:val="Hyperlink"/>
            <w:rFonts w:cs="Times New Roman"/>
          </w:rPr>
          <w:t>SJ</w:t>
        </w:r>
      </w:hyperlink>
      <w:r>
        <w:rPr>
          <w:rFonts w:cs="Times New Roman"/>
        </w:rPr>
        <w:noBreakHyphen/>
        <w:t>50</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Returned to House with amendments </w:t>
      </w:r>
      <w:hyperlink r:id="rId21" w:history="1">
        <w:r w:rsidRPr="001D3AAF">
          <w:rPr>
            <w:rStyle w:val="Hyperlink"/>
            <w:rFonts w:cs="Times New Roman"/>
          </w:rPr>
          <w:t>SJ</w:t>
        </w:r>
      </w:hyperlink>
      <w:r>
        <w:rPr>
          <w:rFonts w:cs="Times New Roman"/>
        </w:rPr>
        <w:noBreakHyphen/>
        <w:t>50</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t>Scrivener's error corrected</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Non</w:t>
      </w:r>
      <w:r>
        <w:rPr>
          <w:rFonts w:cs="Times New Roman"/>
        </w:rPr>
        <w:noBreakHyphen/>
        <w:t xml:space="preserve">concurrence in Senate amendment </w:t>
      </w:r>
      <w:hyperlink r:id="rId22" w:history="1">
        <w:r w:rsidRPr="001D3AAF">
          <w:rPr>
            <w:rStyle w:val="Hyperlink"/>
            <w:rFonts w:cs="Times New Roman"/>
          </w:rPr>
          <w:t>HJ</w:t>
        </w:r>
      </w:hyperlink>
      <w:r>
        <w:rPr>
          <w:rFonts w:cs="Times New Roman"/>
        </w:rPr>
        <w:noBreakHyphen/>
        <w:t>51</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Roll call Yeas</w:t>
      </w:r>
      <w:r>
        <w:rPr>
          <w:rFonts w:cs="Times New Roman"/>
        </w:rPr>
        <w:noBreakHyphen/>
        <w:t>1  Nays</w:t>
      </w:r>
      <w:r>
        <w:rPr>
          <w:rFonts w:cs="Times New Roman"/>
        </w:rPr>
        <w:noBreakHyphen/>
        <w:t xml:space="preserve">104 </w:t>
      </w:r>
      <w:hyperlink r:id="rId23" w:history="1">
        <w:r w:rsidRPr="001D3AAF">
          <w:rPr>
            <w:rStyle w:val="Hyperlink"/>
            <w:rFonts w:cs="Times New Roman"/>
          </w:rPr>
          <w:t>HJ</w:t>
        </w:r>
      </w:hyperlink>
      <w:r>
        <w:rPr>
          <w:rFonts w:cs="Times New Roman"/>
        </w:rPr>
        <w:noBreakHyphen/>
        <w:t>52</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Senate insists upon amendment and conference committee appointed Verdin, Sheheen, and Campbell </w:t>
      </w:r>
      <w:hyperlink r:id="rId24" w:history="1">
        <w:r w:rsidRPr="001D3AAF">
          <w:rPr>
            <w:rStyle w:val="Hyperlink"/>
            <w:rFonts w:cs="Times New Roman"/>
          </w:rPr>
          <w:t>SJ</w:t>
        </w:r>
      </w:hyperlink>
      <w:r>
        <w:rPr>
          <w:rFonts w:cs="Times New Roman"/>
        </w:rPr>
        <w:noBreakHyphen/>
        <w:t>86</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Conference committee appointed Reps. Owens, Branham, and D.C. Smith </w:t>
      </w:r>
      <w:hyperlink r:id="rId25" w:history="1">
        <w:r w:rsidRPr="001D3AAF">
          <w:rPr>
            <w:rStyle w:val="Hyperlink"/>
            <w:rFonts w:cs="Times New Roman"/>
          </w:rPr>
          <w:t>HJ</w:t>
        </w:r>
      </w:hyperlink>
      <w:r>
        <w:rPr>
          <w:rFonts w:cs="Times New Roman"/>
        </w:rPr>
        <w:noBreakHyphen/>
        <w:t>6</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Free conference powers granted </w:t>
      </w:r>
      <w:hyperlink r:id="rId26" w:history="1">
        <w:r w:rsidRPr="001D3AAF">
          <w:rPr>
            <w:rStyle w:val="Hyperlink"/>
            <w:rFonts w:cs="Times New Roman"/>
          </w:rPr>
          <w:t>HJ</w:t>
        </w:r>
      </w:hyperlink>
      <w:r>
        <w:rPr>
          <w:rFonts w:cs="Times New Roman"/>
        </w:rPr>
        <w:noBreakHyphen/>
        <w:t>17</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Free conference committee appointed Reps. Owens, Branham, and D.C. Smith </w:t>
      </w:r>
      <w:hyperlink r:id="rId27" w:history="1">
        <w:r w:rsidRPr="001D3AAF">
          <w:rPr>
            <w:rStyle w:val="Hyperlink"/>
            <w:rFonts w:cs="Times New Roman"/>
          </w:rPr>
          <w:t>HJ</w:t>
        </w:r>
      </w:hyperlink>
      <w:r>
        <w:rPr>
          <w:rFonts w:cs="Times New Roman"/>
        </w:rPr>
        <w:noBreakHyphen/>
        <w:t>19</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t xml:space="preserve">Free conference powers granted </w:t>
      </w:r>
      <w:hyperlink r:id="rId28" w:history="1">
        <w:r w:rsidRPr="001D3AAF">
          <w:rPr>
            <w:rStyle w:val="Hyperlink"/>
            <w:rFonts w:cs="Times New Roman"/>
          </w:rPr>
          <w:t>SJ</w:t>
        </w:r>
      </w:hyperlink>
      <w:r>
        <w:rPr>
          <w:rFonts w:cs="Times New Roman"/>
        </w:rPr>
        <w:noBreakHyphen/>
        <w:t>83</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t xml:space="preserve">Free conference committee appointed Verdin, Sheheen, and Campbell </w:t>
      </w:r>
      <w:hyperlink r:id="rId29" w:history="1">
        <w:r w:rsidRPr="001D3AAF">
          <w:rPr>
            <w:rStyle w:val="Hyperlink"/>
            <w:rFonts w:cs="Times New Roman"/>
          </w:rPr>
          <w:t>SJ</w:t>
        </w:r>
      </w:hyperlink>
      <w:r>
        <w:rPr>
          <w:rFonts w:cs="Times New Roman"/>
        </w:rPr>
        <w:noBreakHyphen/>
        <w:t>83</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t xml:space="preserve">Free conference report adopted </w:t>
      </w:r>
      <w:hyperlink r:id="rId30" w:history="1">
        <w:r w:rsidRPr="001D3AAF">
          <w:rPr>
            <w:rStyle w:val="Hyperlink"/>
            <w:rFonts w:cs="Times New Roman"/>
          </w:rPr>
          <w:t>SJ</w:t>
        </w:r>
      </w:hyperlink>
      <w:r>
        <w:rPr>
          <w:rFonts w:cs="Times New Roman"/>
        </w:rPr>
        <w:noBreakHyphen/>
        <w:t>84</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lastRenderedPageBreak/>
        <w:tab/>
        <w:t>5/21/2009</w:t>
      </w:r>
      <w:r>
        <w:rPr>
          <w:rFonts w:cs="Times New Roman"/>
        </w:rPr>
        <w:tab/>
        <w:t>House</w:t>
      </w:r>
      <w:r>
        <w:rPr>
          <w:rFonts w:cs="Times New Roman"/>
        </w:rPr>
        <w:tab/>
        <w:t xml:space="preserve">Free conference report received and adopted </w:t>
      </w:r>
      <w:hyperlink r:id="rId31" w:history="1">
        <w:r w:rsidRPr="001D3AAF">
          <w:rPr>
            <w:rStyle w:val="Hyperlink"/>
            <w:rFonts w:cs="Times New Roman"/>
          </w:rPr>
          <w:t>HJ</w:t>
        </w:r>
      </w:hyperlink>
      <w:r>
        <w:rPr>
          <w:rFonts w:cs="Times New Roman"/>
        </w:rPr>
        <w:noBreakHyphen/>
        <w:t>19</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Ordered enrolled for ratification </w:t>
      </w:r>
      <w:hyperlink r:id="rId32" w:history="1">
        <w:r w:rsidRPr="001D3AAF">
          <w:rPr>
            <w:rStyle w:val="Hyperlink"/>
            <w:rFonts w:cs="Times New Roman"/>
          </w:rPr>
          <w:t>HJ</w:t>
        </w:r>
      </w:hyperlink>
      <w:r>
        <w:rPr>
          <w:rFonts w:cs="Times New Roman"/>
        </w:rPr>
        <w:noBreakHyphen/>
        <w:t>70</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56</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12/02/09</w:t>
      </w:r>
    </w:p>
    <w:p w:rsidR="00BA0633" w:rsidRDefault="008B2ADE">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24</w:t>
      </w:r>
    </w:p>
    <w:p w:rsidR="00BA0633" w:rsidRDefault="00BA0633">
      <w:pPr>
        <w:widowControl w:val="0"/>
        <w:tabs>
          <w:tab w:val="right" w:pos="1008"/>
          <w:tab w:val="left" w:pos="1152"/>
          <w:tab w:val="left" w:pos="1872"/>
          <w:tab w:val="left" w:pos="9187"/>
        </w:tabs>
        <w:ind w:left="2088" w:hanging="2088"/>
        <w:rPr>
          <w:rFonts w:cs="Times New Roman"/>
        </w:rPr>
      </w:pPr>
    </w:p>
    <w:p w:rsidR="00BA0633" w:rsidRDefault="00BA0633">
      <w:pPr>
        <w:widowControl w:val="0"/>
        <w:tabs>
          <w:tab w:val="right" w:pos="1008"/>
          <w:tab w:val="left" w:pos="1152"/>
          <w:tab w:val="left" w:pos="1872"/>
          <w:tab w:val="left" w:pos="9187"/>
        </w:tabs>
        <w:ind w:left="2088" w:hanging="2088"/>
        <w:rPr>
          <w:rFonts w:cs="Times New Roman"/>
        </w:rPr>
      </w:pPr>
    </w:p>
    <w:p w:rsidR="00BA0633" w:rsidRDefault="008B2A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BA0633" w:rsidRDefault="00BA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0633" w:rsidRDefault="003F6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8B2ADE">
          <w:rPr>
            <w:rFonts w:cs="Times New Roman"/>
            <w:color w:val="0000FF" w:themeColor="hyperlink"/>
            <w:u w:val="single"/>
          </w:rPr>
          <w:t>12/10/2008</w:t>
        </w:r>
      </w:hyperlink>
    </w:p>
    <w:p w:rsidR="00BA0633" w:rsidRDefault="003F6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4" w:history="1">
        <w:r w:rsidR="008B2ADE">
          <w:rPr>
            <w:color w:val="0000FF" w:themeColor="hyperlink"/>
            <w:u w:val="single"/>
          </w:rPr>
          <w:t>2/3/2009</w:t>
        </w:r>
      </w:hyperlink>
    </w:p>
    <w:p w:rsidR="00BA0633" w:rsidRDefault="003F6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5" w:history="1">
        <w:r w:rsidR="008B2ADE">
          <w:rPr>
            <w:color w:val="0000FF" w:themeColor="hyperlink"/>
            <w:u w:val="single"/>
          </w:rPr>
          <w:t>2/11/2009</w:t>
        </w:r>
      </w:hyperlink>
    </w:p>
    <w:p w:rsidR="00BA0633" w:rsidRDefault="003F6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6" w:history="1">
        <w:r w:rsidR="008B2ADE">
          <w:rPr>
            <w:color w:val="0000FF" w:themeColor="hyperlink"/>
            <w:u w:val="single"/>
          </w:rPr>
          <w:t>4/28/2009</w:t>
        </w:r>
      </w:hyperlink>
    </w:p>
    <w:p w:rsidR="00BA0633" w:rsidRDefault="003F6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7" w:history="1">
        <w:r w:rsidR="008B2ADE">
          <w:rPr>
            <w:color w:val="0000FF" w:themeColor="hyperlink"/>
            <w:u w:val="single"/>
          </w:rPr>
          <w:t>4/29/2009</w:t>
        </w:r>
      </w:hyperlink>
    </w:p>
    <w:p w:rsidR="00BA0633" w:rsidRDefault="003F6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8" w:history="1">
        <w:r w:rsidR="008B2ADE">
          <w:rPr>
            <w:color w:val="0000FF" w:themeColor="hyperlink"/>
            <w:u w:val="single"/>
          </w:rPr>
          <w:t>4/30/2009</w:t>
        </w:r>
      </w:hyperlink>
    </w:p>
    <w:p w:rsidR="00BA0633" w:rsidRDefault="003F6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9" w:history="1">
        <w:r w:rsidR="008B2ADE">
          <w:rPr>
            <w:color w:val="0000FF" w:themeColor="hyperlink"/>
            <w:u w:val="single"/>
          </w:rPr>
          <w:t>5/12/2009</w:t>
        </w:r>
      </w:hyperlink>
    </w:p>
    <w:p w:rsidR="00BA0633" w:rsidRDefault="003F6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0" w:history="1">
        <w:r w:rsidR="008B2ADE">
          <w:rPr>
            <w:color w:val="0000FF" w:themeColor="hyperlink"/>
            <w:u w:val="single"/>
          </w:rPr>
          <w:t>5/13/2009</w:t>
        </w:r>
      </w:hyperlink>
    </w:p>
    <w:p w:rsidR="00BA0633" w:rsidRDefault="003F6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1" w:history="1">
        <w:r w:rsidR="008B2ADE">
          <w:rPr>
            <w:color w:val="0000FF" w:themeColor="hyperlink"/>
            <w:u w:val="single"/>
          </w:rPr>
          <w:t>5/21/2009</w:t>
        </w:r>
      </w:hyperlink>
    </w:p>
    <w:p w:rsidR="00BA0633" w:rsidRDefault="00BA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633" w:rsidRDefault="00BA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A0633">
          <w:pgSz w:w="12240" w:h="15840" w:code="1"/>
          <w:pgMar w:top="1080" w:right="1440" w:bottom="1080" w:left="1440" w:header="720" w:footer="720" w:gutter="0"/>
          <w:pgNumType w:start="1"/>
          <w:cols w:space="720"/>
          <w:noEndnote/>
          <w:docGrid w:linePitch="360"/>
        </w:sect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 R56, S126)</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56</w:t>
      </w:r>
      <w:r>
        <w:rPr>
          <w:rFonts w:cs="Times New Roman"/>
          <w:b/>
        </w:rPr>
        <w:noBreakHyphen/>
        <w:t>3</w:t>
      </w:r>
      <w:r>
        <w:rPr>
          <w:rFonts w:cs="Times New Roman"/>
          <w:b/>
        </w:rP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rPr>
          <w:rFonts w:cs="Times New Roman"/>
          <w:b/>
        </w:rPr>
        <w:noBreakHyphen/>
        <w:t>3</w:t>
      </w:r>
      <w:r>
        <w:rPr>
          <w:rFonts w:cs="Times New Roman"/>
          <w:b/>
        </w:rPr>
        <w:noBreakHyphen/>
        <w:t>1950, RELATING TO THE DEFINITION OF THE TERM “HANDICAPPED”, AND THE REQUIREMENT THAT A LICENSED PHYSICIAN SHALL CERTIFY THAT A PERSON’S TOTAL AND PERMANENT DISABILITY SUBSTANTIALLY IMPAIRS HIS ABILITY TO WALK, SO AS TO REVISE THE DEFINITION OF THE TERM “HANDICAPPED”, TO DELETE THE PROVISION RELATING TO THE CERTIFICATION OF A PERSON WHO IS TOTALLY AND PERMANENTLY DISABLED AND TO DEFINE THE TERM “ACCESS AISLE”; TO AMEND SECTION 56</w:t>
      </w:r>
      <w:r>
        <w:rPr>
          <w:rFonts w:cs="Times New Roman"/>
          <w:b/>
        </w:rPr>
        <w:noBreakHyphen/>
        <w:t>3</w:t>
      </w:r>
      <w:r>
        <w:rPr>
          <w:rFonts w:cs="Times New Roman"/>
          <w:b/>
        </w:rP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PROPER USE AND DISPLAY OF HANDICAPPED PLACARDS, AND TO PROVIDE PENALTIES FOR VIOLATIONS OF THE PROVISION; TO AMEND SECTION 56</w:t>
      </w:r>
      <w:r>
        <w:rPr>
          <w:rFonts w:cs="Times New Roman"/>
          <w:b/>
        </w:rPr>
        <w:noBreakHyphen/>
        <w:t>3</w:t>
      </w:r>
      <w:r>
        <w:rPr>
          <w:rFonts w:cs="Times New Roman"/>
          <w:b/>
        </w:rP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rPr>
          <w:rFonts w:cs="Times New Roman"/>
          <w:b/>
        </w:rPr>
        <w:noBreakHyphen/>
        <w:t>3</w:t>
      </w:r>
      <w:r>
        <w:rPr>
          <w:rFonts w:cs="Times New Roman"/>
          <w:b/>
        </w:rPr>
        <w:noBreakHyphen/>
        <w:t>2010, RELATING TO THE ISSUANCE OF PERSONALIZED LICENSE PLATES, SO AS TO PROVIDE THAT A PERSON WHO IS QUALIFIED TO RECEIVE THIS LICENSE PLATE AND A HANDICAPPED LICENSE PLATE MAY BE ISSUED A PERSONALIZED LICENSE PLATE THAT INCLUDES A DECAL THAT CONTAINS THE INTERNATIONAL SYMBOL OF ACCESS; TO AMEND SECTION 56</w:t>
      </w:r>
      <w:r>
        <w:rPr>
          <w:rFonts w:cs="Times New Roman"/>
          <w:b/>
        </w:rPr>
        <w:noBreakHyphen/>
        <w:t>3</w:t>
      </w:r>
      <w:r>
        <w:rPr>
          <w:rFonts w:cs="Times New Roman"/>
          <w:b/>
        </w:rPr>
        <w:noBreakHyphen/>
        <w:t>1970, RELATING TO THE UNLAWFUL PARKING OF A VEHICLE IN A PARKING PLACE DESIGNATED FOR HANDICAPPED PERSONS, SO AS TO PROVIDE THAT IT IS ALSO UNLAWFUL FOR CERTAIN PERSONS TO EXERCISE THE PRIVILEGES GRANTED TO A HOLDER OF A LICENSE PLATE OR PLACARD DESIGNATED FOR USE BY A HANDICAPPED PERSON, AND TO INCREASE THE PENALTY FOR A VIOLATION OF THIS PROVISION; AND TO AMEND SECTION 56</w:t>
      </w:r>
      <w:r>
        <w:rPr>
          <w:rFonts w:cs="Times New Roman"/>
          <w:b/>
        </w:rPr>
        <w:noBreakHyphen/>
        <w:t>3</w:t>
      </w:r>
      <w:r>
        <w:rPr>
          <w:rFonts w:cs="Times New Roman"/>
          <w:b/>
        </w:rPr>
        <w:noBreakHyphen/>
        <w:t>1975, RELATING TO THE IDENTIFICATION AND MAINTENANCE OF HANDICAPPED PARKING PLACES, SO AS TO PROVIDE THAT A HANDICAPPED PARKING PLACE INCLUDES ALL ACCESS AISLES.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1" w:name="titleend"/>
      <w:bookmarkEnd w:id="1"/>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Be it enacted by the General Assembly of the State of South Carolina:</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License plates for handicapped persons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w:t>
      </w:r>
      <w:r>
        <w:rPr>
          <w:rFonts w:eastAsia="Times New Roman" w:cs="Times New Roman"/>
          <w:szCs w:val="20"/>
        </w:rPr>
        <w:tab/>
        <w:t>Section 56</w:t>
      </w:r>
      <w:r>
        <w:rPr>
          <w:rFonts w:eastAsia="Times New Roman" w:cs="Times New Roman"/>
          <w:szCs w:val="20"/>
        </w:rPr>
        <w:noBreakHyphen/>
        <w:t>3</w:t>
      </w:r>
      <w:r>
        <w:rPr>
          <w:rFonts w:eastAsia="Times New Roman" w:cs="Times New Roman"/>
          <w:szCs w:val="20"/>
        </w:rPr>
        <w:noBreakHyphen/>
        <w:t>1910 of the 1976 Code is amended to read: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“Section 56</w:t>
      </w:r>
      <w:r>
        <w:rPr>
          <w:rFonts w:eastAsia="Times New Roman" w:cs="Times New Roman"/>
          <w:szCs w:val="20"/>
        </w:rPr>
        <w:noBreakHyphen/>
        <w:t>3</w:t>
      </w:r>
      <w:r>
        <w:rPr>
          <w:rFonts w:eastAsia="Times New Roman" w:cs="Times New Roman"/>
          <w:szCs w:val="20"/>
        </w:rPr>
        <w:noBreakHyphen/>
        <w:t>1910.</w:t>
      </w:r>
      <w:r>
        <w:rPr>
          <w:rFonts w:eastAsia="Times New Roman" w:cs="Times New Roman"/>
          <w:szCs w:val="20"/>
        </w:rPr>
        <w:tab/>
        <w:t>(A)</w:t>
      </w:r>
      <w:r>
        <w:rPr>
          <w:rFonts w:eastAsia="Times New Roman" w:cs="Times New Roman"/>
          <w:szCs w:val="20"/>
        </w:rPr>
        <w:tab/>
        <w:t>As used in this article, ‘handicapped’ means a person who has one or more of the following conditions: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(1)</w:t>
      </w:r>
      <w:r>
        <w:rPr>
          <w:rFonts w:eastAsia="Times New Roman" w:cs="Times New Roman"/>
          <w:szCs w:val="20"/>
        </w:rPr>
        <w:tab/>
        <w:t>an inability to ordinarily walk one hundred feet nonstop without aggravating an existing medical condition, including the increase of pain;</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(2)</w:t>
      </w:r>
      <w:r>
        <w:rPr>
          <w:rFonts w:eastAsia="Times New Roman" w:cs="Times New Roman"/>
          <w:szCs w:val="20"/>
        </w:rPr>
        <w:tab/>
        <w:t>an inability to ordinarily walk without the use of, or assistance from a brace, cane, crutch, another person, prosthetic device, wheelchair, or other assistive device;</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(3)</w:t>
      </w:r>
      <w:r>
        <w:rPr>
          <w:rFonts w:eastAsia="Times New Roman" w:cs="Times New Roman"/>
          <w:szCs w:val="20"/>
        </w:rPr>
        <w:tab/>
        <w:t>a restriction by lung disease to the extent that the person’s forced expiratory volume for one second when measured by spirometry is less than one liter, or the arterial oxygen tension is less than sixty mm/hg on room air at rest;</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(4)</w:t>
      </w:r>
      <w:r>
        <w:rPr>
          <w:rFonts w:eastAsia="Times New Roman" w:cs="Times New Roman"/>
          <w:szCs w:val="20"/>
        </w:rPr>
        <w:tab/>
        <w:t>requires use of portable oxygen;</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(5)</w:t>
      </w:r>
      <w:r>
        <w:rPr>
          <w:rFonts w:eastAsia="Times New Roman" w:cs="Times New Roman"/>
          <w:szCs w:val="20"/>
        </w:rPr>
        <w:tab/>
        <w:t>a cardiac condition to the extent that the person’s functional limitations are classified in severity as Class III or Class IV according to standards established by the American Heart Association.  If the person’s status improves to a higher level, for example as a result of bypass surgery or transplantation, he no longer meets this criteria;</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(6)</w:t>
      </w:r>
      <w:r>
        <w:rPr>
          <w:rFonts w:eastAsia="Times New Roman" w:cs="Times New Roman"/>
          <w:szCs w:val="20"/>
        </w:rPr>
        <w:tab/>
        <w:t>a substantial limitation in the ability to walk due to an arthritic, neurological, or orthopedic condition, for example, coordination problems and muscle spasticity due to conditions that include Parkinson’s disease, cerebral palsy, or multiple sclerosis; or</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(7)</w:t>
      </w:r>
      <w:r>
        <w:rPr>
          <w:rFonts w:eastAsia="Times New Roman" w:cs="Times New Roman"/>
          <w:szCs w:val="20"/>
        </w:rPr>
        <w:tab/>
        <w:t>blindness.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(B)</w:t>
      </w:r>
      <w:r>
        <w:rPr>
          <w:rFonts w:eastAsia="Times New Roman" w:cs="Times New Roman"/>
          <w:szCs w:val="20"/>
        </w:rPr>
        <w:tab/>
        <w:t xml:space="preserve">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 </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(C)(1)</w:t>
      </w:r>
      <w:r>
        <w:rPr>
          <w:rFonts w:eastAsia="Times New Roman" w:cs="Times New Roman"/>
          <w:szCs w:val="20"/>
        </w:rPr>
        <w:tab/>
        <w:t>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(2)</w:t>
      </w:r>
      <w:r>
        <w:rPr>
          <w:rFonts w:eastAsia="Times New Roman" w:cs="Times New Roman"/>
          <w:szCs w:val="20"/>
        </w:rPr>
        <w:tab/>
        <w:t xml:space="preserve">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  </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(D)</w:t>
      </w:r>
      <w:r>
        <w:rPr>
          <w:rFonts w:eastAsia="Times New Roman" w:cs="Times New Roman"/>
          <w:szCs w:val="20"/>
        </w:rPr>
        <w:tab/>
        <w:t>Forms must be completed by physicians licensed to practice in South Carolina as defined in Section 40</w:t>
      </w:r>
      <w:r>
        <w:rPr>
          <w:rFonts w:eastAsia="Times New Roman" w:cs="Times New Roman"/>
          <w:szCs w:val="20"/>
        </w:rPr>
        <w:noBreakHyphen/>
        <w:t>47</w:t>
      </w:r>
      <w:r>
        <w:rPr>
          <w:rFonts w:eastAsia="Times New Roman" w:cs="Times New Roman"/>
          <w:szCs w:val="20"/>
        </w:rPr>
        <w:noBreakHyphen/>
        <w:t>5.</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(E)</w:t>
      </w:r>
      <w:r>
        <w:rPr>
          <w:rFonts w:eastAsia="Times New Roman" w:cs="Times New Roman"/>
          <w:szCs w:val="20"/>
        </w:rPr>
        <w:tab/>
        <w:t>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(F)</w:t>
      </w:r>
      <w:r>
        <w:rPr>
          <w:rFonts w:eastAsia="Times New Roman" w:cs="Times New Roman"/>
          <w:szCs w:val="20"/>
        </w:rPr>
        <w:tab/>
        <w:t>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w:t>
      </w:r>
      <w:r>
        <w:rPr>
          <w:rFonts w:eastAsia="Times New Roman" w:cs="Times New Roman"/>
          <w:szCs w:val="20"/>
        </w:rPr>
        <w:tab/>
        <w:t>(G)</w:t>
      </w:r>
      <w:r>
        <w:rPr>
          <w:rFonts w:eastAsia="Times New Roman" w:cs="Times New Roman"/>
          <w:szCs w:val="20"/>
        </w:rPr>
        <w:tab/>
        <w:t xml:space="preserve">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  </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(H)</w:t>
      </w:r>
      <w:r>
        <w:rPr>
          <w:rFonts w:eastAsia="Times New Roman" w:cs="Times New Roman"/>
          <w:szCs w:val="20"/>
        </w:rPr>
        <w:tab/>
        <w:t>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(I)</w:t>
      </w:r>
      <w:r>
        <w:rPr>
          <w:rFonts w:eastAsia="Times New Roman" w:cs="Times New Roman"/>
          <w:szCs w:val="20"/>
        </w:rPr>
        <w:tab/>
        <w:t>A person who qualifies for a license plate under this section and also qualifies as a disabled veteran under Section 56</w:t>
      </w:r>
      <w:r>
        <w:rPr>
          <w:rFonts w:eastAsia="Times New Roman" w:cs="Times New Roman"/>
          <w:szCs w:val="20"/>
        </w:rPr>
        <w:noBreakHyphen/>
        <w:t>3</w:t>
      </w:r>
      <w:r>
        <w:rPr>
          <w:rFonts w:eastAsia="Times New Roman" w:cs="Times New Roman"/>
          <w:szCs w:val="20"/>
        </w:rPr>
        <w:noBreakHyphen/>
        <w:t>1110 must be issued the license plate provided for in this section free of charge.</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ab/>
        <w:t>(J)(1)</w:t>
      </w:r>
      <w:r>
        <w:rPr>
          <w:rFonts w:eastAsia="Times New Roman" w:cs="Times New Roman"/>
          <w:szCs w:val="20"/>
        </w:rPr>
        <w:tab/>
        <w:t xml:space="preserve">Except as provided in item (2), </w:t>
      </w:r>
      <w:r>
        <w:rPr>
          <w:rFonts w:cs="Times New Roman"/>
        </w:rPr>
        <w:t>a person violating the provisions of this section is guilty of a misdemeanor and, upon conviction, must be fined not less than five hundred dollars and not more than one thousand dollars or imprisoned for not more than thirty days for each offense.</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ab/>
      </w:r>
      <w:r>
        <w:rPr>
          <w:rFonts w:eastAsia="Times New Roman" w:cs="Times New Roman"/>
          <w:szCs w:val="20"/>
        </w:rPr>
        <w:tab/>
        <w:t>(2)</w:t>
      </w:r>
      <w:r>
        <w:rPr>
          <w:rFonts w:eastAsia="Times New Roman" w:cs="Times New Roman"/>
          <w:szCs w:val="20"/>
        </w:rPr>
        <w:tab/>
        <w:t>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r>
        <w:rPr>
          <w:rFonts w:cs="Times New Roman"/>
        </w:rPr>
        <w:t>”</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cs="Times New Roman"/>
        </w:rPr>
        <w:t>SECTION</w:t>
      </w:r>
      <w:r>
        <w:rPr>
          <w:rFonts w:cs="Times New Roman"/>
        </w:rPr>
        <w:tab/>
      </w:r>
      <w:r>
        <w:rPr>
          <w:rFonts w:eastAsia="Times New Roman" w:cs="Times New Roman"/>
          <w:szCs w:val="20"/>
        </w:rPr>
        <w:t>2.</w:t>
      </w:r>
      <w:r>
        <w:rPr>
          <w:rFonts w:eastAsia="Times New Roman" w:cs="Times New Roman"/>
          <w:szCs w:val="20"/>
        </w:rPr>
        <w:tab/>
        <w:t>Section 56</w:t>
      </w:r>
      <w:r>
        <w:rPr>
          <w:rFonts w:eastAsia="Times New Roman" w:cs="Times New Roman"/>
          <w:szCs w:val="20"/>
        </w:rPr>
        <w:noBreakHyphen/>
        <w:t>3</w:t>
      </w:r>
      <w:r>
        <w:rPr>
          <w:rFonts w:eastAsia="Times New Roman" w:cs="Times New Roman"/>
          <w:szCs w:val="20"/>
        </w:rPr>
        <w:noBreakHyphen/>
        <w:t>1950 of the 1976 Code is amended to read: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 56</w:t>
      </w:r>
      <w:r>
        <w:rPr>
          <w:rFonts w:eastAsia="Times New Roman" w:cs="Times New Roman"/>
          <w:szCs w:val="20"/>
        </w:rPr>
        <w:noBreakHyphen/>
        <w:t>3</w:t>
      </w:r>
      <w:r>
        <w:rPr>
          <w:rFonts w:eastAsia="Times New Roman" w:cs="Times New Roman"/>
          <w:szCs w:val="20"/>
        </w:rPr>
        <w:noBreakHyphen/>
        <w:t>1950.</w:t>
      </w:r>
      <w:r>
        <w:rPr>
          <w:rFonts w:eastAsia="Times New Roman" w:cs="Times New Roman"/>
          <w:szCs w:val="20"/>
        </w:rPr>
        <w:tab/>
        <w:t>As used in this article:</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(1)</w:t>
      </w:r>
      <w:r>
        <w:rPr>
          <w:rFonts w:eastAsia="Times New Roman" w:cs="Times New Roman"/>
          <w:szCs w:val="20"/>
        </w:rPr>
        <w:tab/>
        <w:t xml:space="preserve"> ‘Handicapped’ means a person as defined in Section 56</w:t>
      </w:r>
      <w:r>
        <w:rPr>
          <w:rFonts w:eastAsia="Times New Roman" w:cs="Times New Roman"/>
          <w:szCs w:val="20"/>
        </w:rPr>
        <w:noBreakHyphen/>
        <w:t>3</w:t>
      </w:r>
      <w:r>
        <w:rPr>
          <w:rFonts w:eastAsia="Times New Roman" w:cs="Times New Roman"/>
          <w:szCs w:val="20"/>
        </w:rPr>
        <w:noBreakHyphen/>
        <w:t>1910.</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(2)</w:t>
      </w:r>
      <w:r>
        <w:rPr>
          <w:rFonts w:eastAsia="Times New Roman" w:cs="Times New Roman"/>
          <w:szCs w:val="20"/>
        </w:rPr>
        <w:tab/>
        <w:t>‘Access aisle’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Temporary and permanent parking placards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3.</w:t>
      </w:r>
      <w:r>
        <w:rPr>
          <w:rFonts w:eastAsia="Times New Roman" w:cs="Times New Roman"/>
          <w:szCs w:val="20"/>
        </w:rPr>
        <w:tab/>
        <w:t>Section 56</w:t>
      </w:r>
      <w:r>
        <w:rPr>
          <w:rFonts w:eastAsia="Times New Roman" w:cs="Times New Roman"/>
          <w:szCs w:val="20"/>
        </w:rPr>
        <w:noBreakHyphen/>
        <w:t>3</w:t>
      </w:r>
      <w:r>
        <w:rPr>
          <w:rFonts w:eastAsia="Times New Roman" w:cs="Times New Roman"/>
          <w:szCs w:val="20"/>
        </w:rPr>
        <w:noBreakHyphen/>
        <w:t>1960 of the 1976 Code is amended to read: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“Section 56</w:t>
      </w:r>
      <w:r>
        <w:rPr>
          <w:rFonts w:eastAsia="Times New Roman" w:cs="Times New Roman"/>
          <w:szCs w:val="20"/>
        </w:rPr>
        <w:noBreakHyphen/>
        <w:t>3</w:t>
      </w:r>
      <w:r>
        <w:rPr>
          <w:rFonts w:eastAsia="Times New Roman" w:cs="Times New Roman"/>
          <w:szCs w:val="20"/>
        </w:rPr>
        <w:noBreakHyphen/>
        <w:t>1960.</w:t>
      </w:r>
      <w:r>
        <w:rPr>
          <w:rFonts w:eastAsia="Times New Roman" w:cs="Times New Roman"/>
          <w:szCs w:val="20"/>
        </w:rPr>
        <w:tab/>
        <w:t>(A)</w:t>
      </w:r>
      <w:r>
        <w:rPr>
          <w:rFonts w:eastAsia="Times New Roman" w:cs="Times New Roman"/>
          <w:szCs w:val="20"/>
        </w:rPr>
        <w:tab/>
        <w:t>A person who is ‘handicapped’ as defined in Section 56</w:t>
      </w:r>
      <w:r>
        <w:rPr>
          <w:rFonts w:eastAsia="Times New Roman" w:cs="Times New Roman"/>
          <w:szCs w:val="20"/>
        </w:rPr>
        <w:noBreakHyphen/>
        <w:t>3</w:t>
      </w:r>
      <w:r>
        <w:rPr>
          <w:rFonts w:eastAsia="Times New Roman" w:cs="Times New Roman"/>
          <w:szCs w:val="20"/>
        </w:rPr>
        <w:noBreakHyphen/>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w:t>
      </w:r>
      <w:r>
        <w:rPr>
          <w:rFonts w:eastAsia="Times New Roman" w:cs="Times New Roman"/>
          <w:szCs w:val="20"/>
        </w:rPr>
        <w:noBreakHyphen/>
        <w:t>3</w:t>
      </w:r>
      <w:r>
        <w:rPr>
          <w:rFonts w:eastAsia="Times New Roman" w:cs="Times New Roman"/>
          <w:szCs w:val="20"/>
        </w:rPr>
        <w:noBreakHyphen/>
        <w:t>1910.  In conjunction with the issuance of a placard, applicants also must be issued a</w:t>
      </w:r>
      <w:r>
        <w:rPr>
          <w:rFonts w:cs="Times New Roman"/>
          <w:u w:color="000000" w:themeColor="text1"/>
        </w:rPr>
        <w:t xml:space="preserve">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w:t>
      </w:r>
      <w:r>
        <w:rPr>
          <w:rFonts w:eastAsia="Times New Roman" w:cs="Times New Roman"/>
          <w:szCs w:val="20"/>
        </w:rPr>
        <w:t xml:space="preserve">The department shall charge a fee of one dollar for a placard.  An agency, organization, or facility that transports a disabled or handicapped person may receive a placard for each vehicle registered upon proper application and the payment of the appropriate fees. </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(B)</w:t>
      </w:r>
      <w:r>
        <w:rPr>
          <w:rFonts w:eastAsia="Times New Roman" w:cs="Times New Roman"/>
          <w:szCs w:val="20"/>
        </w:rPr>
        <w:tab/>
        <w:t xml:space="preserve">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w:t>
      </w:r>
      <w:r>
        <w:rPr>
          <w:rFonts w:cs="Times New Roman"/>
          <w:u w:color="000000" w:themeColor="text1"/>
        </w:rPr>
        <w:t>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r>
        <w:rPr>
          <w:rFonts w:cs="Times New Roman"/>
        </w:rPr>
        <w:tab/>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(C)</w:t>
      </w:r>
      <w:r>
        <w:rPr>
          <w:rFonts w:eastAsia="Times New Roman" w:cs="Times New Roman"/>
          <w:szCs w:val="20"/>
        </w:rPr>
        <w:tab/>
        <w:t>The placards shall conform to specifications set forth in the standards established for compliance with the Americans with Disabilities Act.  The design must incorporate a means for hanging the placard from a vehicle windshield rearview mirror, and: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(1)</w:t>
      </w:r>
      <w:r>
        <w:rPr>
          <w:rFonts w:eastAsia="Times New Roman" w:cs="Times New Roman"/>
          <w:szCs w:val="20"/>
        </w:rPr>
        <w:tab/>
        <w:t>contain the International Symbol of Access;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(2)</w:t>
      </w:r>
      <w:r>
        <w:rPr>
          <w:rFonts w:eastAsia="Times New Roman" w:cs="Times New Roman"/>
          <w:szCs w:val="20"/>
        </w:rPr>
        <w:tab/>
        <w:t>be color coded to reflect user status in the following manner:</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(a)</w:t>
      </w:r>
      <w:r>
        <w:rPr>
          <w:rFonts w:eastAsia="Times New Roman" w:cs="Times New Roman"/>
          <w:szCs w:val="20"/>
        </w:rPr>
        <w:tab/>
        <w:t xml:space="preserve">dark blue </w:t>
      </w:r>
      <w:r>
        <w:rPr>
          <w:rFonts w:eastAsia="Times New Roman" w:cs="Times New Roman"/>
          <w:szCs w:val="20"/>
        </w:rPr>
        <w:noBreakHyphen/>
        <w:t xml:space="preserve"> permanently disabled; and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(b)</w:t>
      </w:r>
      <w:r>
        <w:rPr>
          <w:rFonts w:eastAsia="Times New Roman" w:cs="Times New Roman"/>
          <w:szCs w:val="20"/>
        </w:rPr>
        <w:tab/>
        <w:t xml:space="preserve">red </w:t>
      </w:r>
      <w:r>
        <w:rPr>
          <w:rFonts w:eastAsia="Times New Roman" w:cs="Times New Roman"/>
          <w:szCs w:val="20"/>
        </w:rPr>
        <w:noBreakHyphen/>
        <w:t xml:space="preserve"> temporarily disabled.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(D)</w:t>
      </w:r>
      <w:r>
        <w:rPr>
          <w:rFonts w:eastAsia="Times New Roman" w:cs="Times New Roman"/>
          <w:szCs w:val="20"/>
        </w:rPr>
        <w:tab/>
        <w:t xml:space="preserve">Blue and red placards shall contain the qualified user’s photograph.  The photograph must be taken from the qualified user’s driver’s license or identification card on file with the department.  However, a photograph is not required for a placard issued to an agency, organization, or facility. </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(E)</w:t>
      </w:r>
      <w:r>
        <w:rPr>
          <w:rFonts w:eastAsia="Times New Roman" w:cs="Times New Roman"/>
          <w:szCs w:val="20"/>
        </w:rPr>
        <w:tab/>
        <w:t>Each placard shall contain the placard’s expiration date.</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(F)</w:t>
      </w:r>
      <w:r>
        <w:rPr>
          <w:rFonts w:eastAsia="Times New Roman" w:cs="Times New Roman"/>
          <w:szCs w:val="20"/>
        </w:rPr>
        <w:tab/>
        <w:t>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szCs w:val="24"/>
          <w:u w:color="000000" w:themeColor="text1"/>
        </w:rPr>
      </w:pPr>
      <w:r>
        <w:rPr>
          <w:rFonts w:eastAsia="Times New Roman" w:cs="Times New Roman"/>
          <w:szCs w:val="20"/>
        </w:rPr>
        <w:tab/>
      </w:r>
      <w:r>
        <w:rPr>
          <w:rFonts w:eastAsia="Arial Unicode MS" w:cs="Times New Roman"/>
          <w:szCs w:val="24"/>
          <w:u w:color="000000" w:themeColor="text1"/>
        </w:rPr>
        <w:t>(G)</w:t>
      </w:r>
      <w:r>
        <w:rPr>
          <w:rFonts w:eastAsia="Arial Unicode MS" w:cs="Times New Roman"/>
          <w:szCs w:val="24"/>
          <w:u w:color="000000" w:themeColor="text1"/>
        </w:rPr>
        <w:tab/>
        <w:t>Placards used for parking in designated handicapped spaces must be displayed on vehicles driven by or transporting the handicapped individual whose name appears on the placard registration certificat</w:t>
      </w:r>
      <w:r>
        <w:rPr>
          <w:rFonts w:eastAsia="Arial Unicode MS" w:cs="Times New Roman"/>
          <w:szCs w:val="24"/>
        </w:rPr>
        <w:t>e.  W</w:t>
      </w:r>
      <w:r>
        <w:rPr>
          <w:rFonts w:eastAsia="Arial Unicode MS" w:cs="Times New Roman"/>
          <w:szCs w:val="24"/>
          <w:u w:color="000000" w:themeColor="text1"/>
        </w:rPr>
        <w:t xml:space="preserve">hen parked in designated spaces, the driver of the vehicle displaying the placard must present the placard registration certificate when requested by law enforcement entities or their duly authorized agents. </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cs="Times New Roman"/>
        </w:rPr>
        <w:tab/>
      </w:r>
      <w:r>
        <w:rPr>
          <w:rFonts w:cs="Times New Roman"/>
          <w:u w:color="000000" w:themeColor="text1"/>
        </w:rPr>
        <w:t>(H)</w:t>
      </w:r>
      <w:r>
        <w:rPr>
          <w:rFonts w:cs="Times New Roman"/>
          <w:u w:color="000000" w:themeColor="text1"/>
        </w:rPr>
        <w:tab/>
        <w:t>Placards and placard registration certificates for permanently disabled persons may be issued and renewed for a maximum period of four years and are renewable on the owner’s birth date.  Placards issued to an agency, organization, or facility must be renewed every four years.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(I)</w:t>
      </w:r>
      <w:r>
        <w:rPr>
          <w:rFonts w:eastAsia="Times New Roman" w:cs="Times New Roman"/>
          <w:szCs w:val="20"/>
        </w:rPr>
        <w:tab/>
        <w:t>A vehicle displaying a valid out</w:t>
      </w:r>
      <w:r>
        <w:rPr>
          <w:rFonts w:eastAsia="Times New Roman" w:cs="Times New Roman"/>
          <w:szCs w:val="20"/>
        </w:rPr>
        <w:noBreakHyphen/>
        <w:t>of</w:t>
      </w:r>
      <w:r>
        <w:rPr>
          <w:rFonts w:eastAsia="Times New Roman" w:cs="Times New Roman"/>
          <w:szCs w:val="20"/>
        </w:rPr>
        <w:noBreakHyphen/>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Pr>
          <w:rFonts w:eastAsia="Times New Roman" w:cs="Times New Roman"/>
          <w:szCs w:val="20"/>
        </w:rPr>
        <w:noBreakHyphen/>
        <w:t>five days after becoming a resident to obtain South Carolina certification.</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(J)</w:t>
      </w:r>
      <w:r>
        <w:rPr>
          <w:rFonts w:eastAsia="Times New Roman" w:cs="Times New Roman"/>
          <w:szCs w:val="20"/>
        </w:rPr>
        <w:tab/>
        <w:t>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Pr>
          <w:rFonts w:eastAsia="Times New Roman" w:cs="Times New Roman"/>
          <w:szCs w:val="20"/>
        </w:rPr>
        <w:noBreakHyphen/>
        <w:t>3</w:t>
      </w:r>
      <w:r>
        <w:rPr>
          <w:rFonts w:eastAsia="Times New Roman" w:cs="Times New Roman"/>
          <w:szCs w:val="20"/>
        </w:rPr>
        <w:noBreakHyphen/>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r>
        <w:rPr>
          <w:rFonts w:eastAsia="Times New Roman" w:cs="Times New Roman"/>
          <w:szCs w:val="20"/>
        </w:rPr>
        <w:tab/>
        <w:t>(K)(1)</w:t>
      </w:r>
      <w:r>
        <w:rPr>
          <w:rFonts w:eastAsia="Times New Roman" w:cs="Times New Roman"/>
          <w:szCs w:val="20"/>
        </w:rPr>
        <w:tab/>
        <w:t>Except as provided in item (2), a</w:t>
      </w:r>
      <w:r>
        <w:rPr>
          <w:rFonts w:cs="Times New Roman"/>
          <w:szCs w:val="18"/>
        </w:rPr>
        <w:t xml:space="preserve"> person that violates the provisions of this section is guilty of a misdemeanor and, upon conviction, must be fined not less than five hundred dollars nor more than one thousand dollars or imprisoned for not more than thirty days, or both, for each offense.</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r>
        <w:rPr>
          <w:rFonts w:cs="Times New Roman"/>
          <w:szCs w:val="18"/>
        </w:rPr>
        <w:tab/>
      </w:r>
      <w:r>
        <w:rPr>
          <w:rFonts w:cs="Times New Roman"/>
          <w:szCs w:val="18"/>
        </w:rPr>
        <w:tab/>
        <w:t>(2)</w:t>
      </w:r>
      <w:r>
        <w:rPr>
          <w:rFonts w:cs="Times New Roman"/>
          <w:szCs w:val="18"/>
        </w:rPr>
        <w:tab/>
      </w:r>
      <w:r>
        <w:rPr>
          <w:rFonts w:eastAsia="Times New Roman" w:cs="Times New Roman"/>
          <w:szCs w:val="20"/>
        </w:rPr>
        <w:t>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r>
        <w:rPr>
          <w:rFonts w:cs="Times New Roman"/>
          <w:szCs w:val="18"/>
        </w:rPr>
        <w:t>”</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18"/>
        </w:rPr>
      </w:pPr>
      <w:r>
        <w:rPr>
          <w:rFonts w:cs="Times New Roman"/>
          <w:b/>
          <w:szCs w:val="18"/>
        </w:rPr>
        <w:t>Free parking in metered or timed parking places for handicapped persons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4.</w:t>
      </w:r>
      <w:r>
        <w:rPr>
          <w:rFonts w:eastAsia="Times New Roman" w:cs="Times New Roman"/>
          <w:szCs w:val="20"/>
        </w:rPr>
        <w:tab/>
        <w:t>Section 56</w:t>
      </w:r>
      <w:r>
        <w:rPr>
          <w:rFonts w:eastAsia="Times New Roman" w:cs="Times New Roman"/>
          <w:szCs w:val="20"/>
        </w:rPr>
        <w:noBreakHyphen/>
        <w:t>3</w:t>
      </w:r>
      <w:r>
        <w:rPr>
          <w:rFonts w:eastAsia="Times New Roman" w:cs="Times New Roman"/>
          <w:szCs w:val="20"/>
        </w:rPr>
        <w:noBreakHyphen/>
        <w:t>1965 of the 1976 Code is amended to read: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ab/>
        <w:t>“Section 56</w:t>
      </w:r>
      <w:r>
        <w:rPr>
          <w:rFonts w:eastAsia="Times New Roman" w:cs="Times New Roman"/>
          <w:szCs w:val="20"/>
        </w:rPr>
        <w:noBreakHyphen/>
        <w:t>3</w:t>
      </w:r>
      <w:r>
        <w:rPr>
          <w:rFonts w:eastAsia="Times New Roman" w:cs="Times New Roman"/>
          <w:szCs w:val="20"/>
        </w:rPr>
        <w:noBreakHyphen/>
        <w:t>1965.</w:t>
      </w:r>
      <w:r>
        <w:rPr>
          <w:rFonts w:eastAsia="Times New Roman" w:cs="Times New Roman"/>
          <w:szCs w:val="20"/>
        </w:rPr>
        <w:tab/>
        <w:t xml:space="preserve">Those municipalities having marked parking spaces shall provide appropriately designated space or spaces reserved for the parking of handicapped persons.  </w:t>
      </w:r>
      <w:r>
        <w:rPr>
          <w:rFonts w:cs="Times New Roman"/>
          <w:u w:color="000000" w:themeColor="text1"/>
        </w:rPr>
        <w:t>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Pr>
          <w:rFonts w:cs="Times New Roman"/>
          <w:u w:color="000000" w:themeColor="text1"/>
        </w:rPr>
        <w:noBreakHyphen/>
        <w:t>3</w:t>
      </w:r>
      <w:r>
        <w:rPr>
          <w:rFonts w:cs="Times New Roman"/>
          <w:u w:color="000000" w:themeColor="text1"/>
        </w:rPr>
        <w:noBreakHyphen/>
        <w:t>1960 when parked in metered or timed parking places.</w:t>
      </w:r>
      <w:r>
        <w:rPr>
          <w:rFonts w:cs="Times New Roman"/>
        </w:rPr>
        <w:t>”</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International Symbol of Access decals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5.</w:t>
      </w:r>
      <w:r>
        <w:rPr>
          <w:rFonts w:eastAsia="Times New Roman" w:cs="Times New Roman"/>
          <w:szCs w:val="20"/>
        </w:rPr>
        <w:tab/>
        <w:t>Section 56</w:t>
      </w:r>
      <w:r>
        <w:rPr>
          <w:rFonts w:eastAsia="Times New Roman" w:cs="Times New Roman"/>
          <w:szCs w:val="20"/>
        </w:rPr>
        <w:noBreakHyphen/>
        <w:t>3</w:t>
      </w:r>
      <w:r>
        <w:rPr>
          <w:rFonts w:eastAsia="Times New Roman" w:cs="Times New Roman"/>
          <w:szCs w:val="20"/>
        </w:rPr>
        <w:noBreakHyphen/>
        <w:t>2010 of the 1976 Code is amended by adding at the end: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16"/>
        </w:rPr>
      </w:pPr>
      <w:r>
        <w:rPr>
          <w:rFonts w:eastAsia="Times New Roman" w:cs="Times New Roman"/>
          <w:szCs w:val="20"/>
        </w:rPr>
        <w:tab/>
        <w:t>“(C)</w:t>
      </w:r>
      <w:r>
        <w:rPr>
          <w:rFonts w:eastAsia="Times New Roman" w:cs="Times New Roman"/>
          <w:szCs w:val="20"/>
        </w:rPr>
        <w:tab/>
      </w:r>
      <w:r>
        <w:rPr>
          <w:rFonts w:eastAsia="Times New Roman" w:cs="Times New Roman"/>
          <w:szCs w:val="16"/>
        </w:rPr>
        <w:t>If a person who qualifies for the special license plate issued under this section also qualifies for the handicapped license plate issued pursuant to Section 56</w:t>
      </w:r>
      <w:r>
        <w:rPr>
          <w:rFonts w:eastAsia="Times New Roman" w:cs="Times New Roman"/>
          <w:szCs w:val="16"/>
        </w:rPr>
        <w:noBreakHyphen/>
        <w:t>3</w:t>
      </w:r>
      <w:r>
        <w:rPr>
          <w:rFonts w:eastAsia="Times New Roman" w:cs="Times New Roman"/>
          <w:szCs w:val="16"/>
        </w:rPr>
        <w:noBreakHyphen/>
        <w:t>1910, then the license plate issued pursuant to this section also shall include a decal with the International Symbol of Access used on license plates issued pursuant to Section 56</w:t>
      </w:r>
      <w:r>
        <w:rPr>
          <w:rFonts w:eastAsia="Times New Roman" w:cs="Times New Roman"/>
          <w:szCs w:val="16"/>
        </w:rPr>
        <w:noBreakHyphen/>
        <w:t>3</w:t>
      </w:r>
      <w:r>
        <w:rPr>
          <w:rFonts w:eastAsia="Times New Roman" w:cs="Times New Roman"/>
          <w:szCs w:val="16"/>
        </w:rPr>
        <w:noBreakHyphen/>
        <w:t>1910.  The decal only can be used if space is available to place the decal on the license plate without covering any identifying numbers or letters on the license plate.”</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Parking places designated for handicapped persons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SECTION</w:t>
      </w:r>
      <w:r>
        <w:rPr>
          <w:rFonts w:eastAsia="Times New Roman" w:cs="Times New Roman"/>
          <w:szCs w:val="20"/>
        </w:rPr>
        <w:tab/>
      </w:r>
      <w:r>
        <w:rPr>
          <w:rFonts w:cs="Times New Roman"/>
        </w:rPr>
        <w:t>6.</w:t>
      </w:r>
      <w:r>
        <w:rPr>
          <w:rFonts w:cs="Times New Roman"/>
        </w:rPr>
        <w:tab/>
        <w:t>Section 56</w:t>
      </w:r>
      <w:r>
        <w:rPr>
          <w:rFonts w:cs="Times New Roman"/>
        </w:rPr>
        <w:noBreakHyphen/>
        <w:t>3</w:t>
      </w:r>
      <w:r>
        <w:rPr>
          <w:rFonts w:cs="Times New Roman"/>
        </w:rPr>
        <w:noBreakHyphen/>
        <w:t>1970 of the 1976 Code is amended to read: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szCs w:val="18"/>
          <w:u w:color="000000" w:themeColor="text1"/>
        </w:rPr>
      </w:pPr>
      <w:r>
        <w:rPr>
          <w:rFonts w:eastAsia="Arial Unicode MS" w:cs="Times New Roman"/>
          <w:szCs w:val="24"/>
        </w:rPr>
        <w:tab/>
        <w:t>“Section 56</w:t>
      </w:r>
      <w:r>
        <w:rPr>
          <w:rFonts w:eastAsia="Arial Unicode MS" w:cs="Times New Roman"/>
          <w:szCs w:val="24"/>
        </w:rPr>
        <w:noBreakHyphen/>
        <w:t>3</w:t>
      </w:r>
      <w:r>
        <w:rPr>
          <w:rFonts w:eastAsia="Arial Unicode MS" w:cs="Times New Roman"/>
          <w:szCs w:val="24"/>
        </w:rPr>
        <w:noBreakHyphen/>
        <w:t>1970.</w:t>
      </w:r>
      <w:r>
        <w:rPr>
          <w:rFonts w:eastAsia="Arial Unicode MS" w:cs="Times New Roman"/>
          <w:szCs w:val="24"/>
        </w:rPr>
        <w:tab/>
        <w:t>(A)</w:t>
      </w:r>
      <w:r>
        <w:rPr>
          <w:rFonts w:eastAsia="Arial Unicode MS" w:cs="Times New Roman"/>
          <w:szCs w:val="24"/>
        </w:rPr>
        <w:tab/>
      </w:r>
      <w:r>
        <w:rPr>
          <w:rFonts w:eastAsia="Arial Unicode MS" w:cs="Times New Roman"/>
          <w:szCs w:val="18"/>
          <w:u w:color="000000" w:themeColor="text1"/>
        </w:rPr>
        <w:t>It is unlawful to park any vehicle in a parking place clearly designated for handicapped persons unless the vehicle bears the distinguishing license plate or placard provided in Section 56</w:t>
      </w:r>
      <w:r>
        <w:rPr>
          <w:rFonts w:eastAsia="Arial Unicode MS" w:cs="Times New Roman"/>
          <w:szCs w:val="18"/>
          <w:u w:color="000000" w:themeColor="text1"/>
        </w:rPr>
        <w:noBreakHyphen/>
        <w:t>3</w:t>
      </w:r>
      <w:r>
        <w:rPr>
          <w:rFonts w:eastAsia="Arial Unicode MS" w:cs="Times New Roman"/>
          <w:szCs w:val="18"/>
          <w:u w:color="000000" w:themeColor="text1"/>
        </w:rPr>
        <w:noBreakHyphen/>
        <w:t xml:space="preserve">1960. </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szCs w:val="18"/>
          <w:u w:color="000000" w:themeColor="text1"/>
        </w:rPr>
      </w:pPr>
      <w:r>
        <w:rPr>
          <w:rFonts w:eastAsia="Arial Unicode MS" w:cs="Times New Roman"/>
          <w:szCs w:val="18"/>
          <w:u w:color="000000" w:themeColor="text1"/>
        </w:rPr>
        <w:tab/>
      </w:r>
      <w:r>
        <w:rPr>
          <w:rFonts w:eastAsia="Arial Unicode MS" w:cs="Times New Roman"/>
          <w:szCs w:val="18"/>
        </w:rPr>
        <w:t>(B)</w:t>
      </w:r>
      <w:r>
        <w:rPr>
          <w:rFonts w:eastAsia="Arial Unicode MS" w:cs="Times New Roman"/>
          <w:szCs w:val="18"/>
        </w:rPr>
        <w:tab/>
      </w:r>
      <w:r>
        <w:rPr>
          <w:rFonts w:eastAsia="Arial Unicode MS" w:cs="Times New Roman"/>
          <w:szCs w:val="18"/>
          <w:u w:color="000000" w:themeColor="text1"/>
        </w:rPr>
        <w:t xml:space="preserve">It is unlawful for any person who is not handicapped or who is not transporting a handicapped person to exercise the parking privileges granted handicapped persons pursuant to </w:t>
      </w:r>
      <w:r>
        <w:rPr>
          <w:rFonts w:eastAsia="Arial Unicode MS" w:cs="Times New Roman"/>
          <w:szCs w:val="18"/>
        </w:rPr>
        <w:t>Sections 56</w:t>
      </w:r>
      <w:r>
        <w:rPr>
          <w:rFonts w:eastAsia="Arial Unicode MS" w:cs="Times New Roman"/>
          <w:szCs w:val="18"/>
        </w:rPr>
        <w:noBreakHyphen/>
        <w:t>3</w:t>
      </w:r>
      <w:r>
        <w:rPr>
          <w:rFonts w:eastAsia="Arial Unicode MS" w:cs="Times New Roman"/>
          <w:szCs w:val="18"/>
        </w:rPr>
        <w:noBreakHyphen/>
        <w:t>1910,</w:t>
      </w:r>
      <w:r>
        <w:rPr>
          <w:rFonts w:eastAsia="Arial Unicode MS" w:cs="Times New Roman"/>
          <w:szCs w:val="18"/>
          <w:u w:color="000000" w:themeColor="text1"/>
        </w:rPr>
        <w:t xml:space="preserve"> 56</w:t>
      </w:r>
      <w:r>
        <w:rPr>
          <w:rFonts w:eastAsia="Arial Unicode MS" w:cs="Times New Roman"/>
          <w:szCs w:val="18"/>
          <w:u w:color="000000" w:themeColor="text1"/>
        </w:rPr>
        <w:noBreakHyphen/>
        <w:t>3</w:t>
      </w:r>
      <w:r>
        <w:rPr>
          <w:rFonts w:eastAsia="Arial Unicode MS" w:cs="Times New Roman"/>
          <w:szCs w:val="18"/>
          <w:u w:color="000000" w:themeColor="text1"/>
        </w:rPr>
        <w:noBreakHyphen/>
        <w:t>1960</w:t>
      </w:r>
      <w:r>
        <w:rPr>
          <w:rFonts w:eastAsia="Arial Unicode MS" w:cs="Times New Roman"/>
          <w:szCs w:val="18"/>
        </w:rPr>
        <w:t>, and 56</w:t>
      </w:r>
      <w:r>
        <w:rPr>
          <w:rFonts w:eastAsia="Arial Unicode MS" w:cs="Times New Roman"/>
          <w:szCs w:val="18"/>
        </w:rPr>
        <w:noBreakHyphen/>
        <w:t>3</w:t>
      </w:r>
      <w:r>
        <w:rPr>
          <w:rFonts w:eastAsia="Arial Unicode MS" w:cs="Times New Roman"/>
          <w:szCs w:val="18"/>
        </w:rPr>
        <w:noBreakHyphen/>
        <w:t>1965</w:t>
      </w:r>
      <w:r>
        <w:rPr>
          <w:rFonts w:eastAsia="Arial Unicode MS" w:cs="Times New Roman"/>
          <w:szCs w:val="18"/>
          <w:u w:color="000000" w:themeColor="text1"/>
        </w:rPr>
        <w:t xml:space="preserve">. </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r>
        <w:rPr>
          <w:rFonts w:cs="Times New Roman"/>
          <w:szCs w:val="18"/>
          <w:u w:color="000000" w:themeColor="text1"/>
        </w:rPr>
        <w:tab/>
        <w:t>(C)</w:t>
      </w:r>
      <w:r>
        <w:rPr>
          <w:rFonts w:cs="Times New Roman"/>
          <w:szCs w:val="18"/>
          <w:u w:color="000000" w:themeColor="text1"/>
        </w:rPr>
        <w:tab/>
        <w:t xml:space="preserve">A person violating the provisions of this section is guilty of a misdemeanor and, upon conviction, must be fined not less than </w:t>
      </w:r>
      <w:r>
        <w:rPr>
          <w:rFonts w:cs="Times New Roman"/>
          <w:szCs w:val="18"/>
        </w:rPr>
        <w:t xml:space="preserve">five </w:t>
      </w:r>
      <w:r>
        <w:rPr>
          <w:rFonts w:cs="Times New Roman"/>
          <w:szCs w:val="18"/>
          <w:u w:color="000000" w:themeColor="text1"/>
        </w:rPr>
        <w:t xml:space="preserve">hundred dollars nor more than </w:t>
      </w:r>
      <w:r>
        <w:rPr>
          <w:rFonts w:cs="Times New Roman"/>
          <w:szCs w:val="18"/>
        </w:rPr>
        <w:t>one thousand</w:t>
      </w:r>
      <w:r>
        <w:rPr>
          <w:rFonts w:cs="Times New Roman"/>
          <w:szCs w:val="18"/>
          <w:u w:color="000000" w:themeColor="text1"/>
        </w:rPr>
        <w:t xml:space="preserve"> dollars or imprisoned for not more than thirty days for each offense.”</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Access aisles included in handicapped parking places</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7.</w:t>
      </w:r>
      <w:r>
        <w:rPr>
          <w:rFonts w:eastAsia="Times New Roman" w:cs="Times New Roman"/>
          <w:szCs w:val="20"/>
        </w:rPr>
        <w:tab/>
        <w:t>Section 56</w:t>
      </w:r>
      <w:r>
        <w:rPr>
          <w:rFonts w:eastAsia="Times New Roman" w:cs="Times New Roman"/>
          <w:szCs w:val="20"/>
        </w:rPr>
        <w:noBreakHyphen/>
        <w:t>3</w:t>
      </w:r>
      <w:r>
        <w:rPr>
          <w:rFonts w:eastAsia="Times New Roman" w:cs="Times New Roman"/>
          <w:szCs w:val="20"/>
        </w:rPr>
        <w:noBreakHyphen/>
        <w:t>1975 of the 1976 Code is amended to read:</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ab/>
        <w:t>“Section 56</w:t>
      </w:r>
      <w:r>
        <w:rPr>
          <w:rFonts w:eastAsia="Times New Roman" w:cs="Times New Roman"/>
          <w:szCs w:val="20"/>
        </w:rPr>
        <w:noBreakHyphen/>
        <w:t>3</w:t>
      </w:r>
      <w:r>
        <w:rPr>
          <w:rFonts w:eastAsia="Times New Roman" w:cs="Times New Roman"/>
          <w:szCs w:val="20"/>
        </w:rPr>
        <w:noBreakHyphen/>
        <w:t>1975.</w:t>
      </w:r>
      <w:r>
        <w:rPr>
          <w:rFonts w:eastAsia="Times New Roman" w:cs="Times New Roman"/>
          <w:szCs w:val="20"/>
        </w:rPr>
        <w:tab/>
      </w:r>
      <w:r>
        <w:rPr>
          <w:rFonts w:cs="Times New Roman"/>
        </w:rPr>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1254" w:rsidRDefault="00AE1254"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8.</w:t>
      </w:r>
      <w:r>
        <w:rPr>
          <w:rFonts w:cs="Times New Roman"/>
        </w:rPr>
        <w:tab/>
        <w:t xml:space="preserve">This act takes effect six months after approval by the Governor.  </w:t>
      </w:r>
    </w:p>
    <w:p w:rsidR="00AE1254" w:rsidRDefault="00AE1254" w:rsidP="00AE1254">
      <w:pPr>
        <w:tabs>
          <w:tab w:val="left" w:pos="1440"/>
          <w:tab w:val="left" w:pos="1800"/>
          <w:tab w:val="left" w:pos="2880"/>
        </w:tabs>
        <w:rPr>
          <w:color w:val="000000" w:themeColor="text1"/>
        </w:rPr>
      </w:pPr>
    </w:p>
    <w:p w:rsidR="00AE1254" w:rsidRDefault="00AE1254" w:rsidP="00AE1254">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AE1254" w:rsidRDefault="00AE1254" w:rsidP="00AE1254">
      <w:pPr>
        <w:tabs>
          <w:tab w:val="left" w:pos="1440"/>
          <w:tab w:val="left" w:pos="1800"/>
          <w:tab w:val="left" w:pos="2880"/>
        </w:tabs>
        <w:rPr>
          <w:color w:val="000000" w:themeColor="text1"/>
        </w:rPr>
      </w:pPr>
    </w:p>
    <w:p w:rsidR="00AE1254" w:rsidRDefault="00AE1254" w:rsidP="00AE1254">
      <w:pPr>
        <w:tabs>
          <w:tab w:val="left" w:pos="1440"/>
          <w:tab w:val="left" w:pos="1800"/>
          <w:tab w:val="left" w:pos="2880"/>
        </w:tabs>
        <w:rPr>
          <w:color w:val="000000" w:themeColor="text1"/>
        </w:rPr>
      </w:pPr>
      <w:r>
        <w:rPr>
          <w:color w:val="000000" w:themeColor="text1"/>
        </w:rPr>
        <w:t>Approved the 2</w:t>
      </w:r>
      <w:r w:rsidRPr="00AE43A0">
        <w:rPr>
          <w:color w:val="000000" w:themeColor="text1"/>
          <w:vertAlign w:val="superscript"/>
        </w:rPr>
        <w:t>nd</w:t>
      </w:r>
      <w:r>
        <w:rPr>
          <w:color w:val="000000" w:themeColor="text1"/>
        </w:rPr>
        <w:t xml:space="preserve"> day of June, 2009. </w:t>
      </w:r>
    </w:p>
    <w:p w:rsidR="00AE1254" w:rsidRDefault="00AE1254" w:rsidP="00AE1254">
      <w:pPr>
        <w:tabs>
          <w:tab w:val="left" w:pos="1440"/>
          <w:tab w:val="left" w:pos="1800"/>
          <w:tab w:val="left" w:pos="2880"/>
        </w:tabs>
        <w:jc w:val="center"/>
        <w:rPr>
          <w:color w:val="000000" w:themeColor="text1"/>
        </w:rPr>
      </w:pPr>
    </w:p>
    <w:p w:rsidR="00AE1254" w:rsidRDefault="00AE1254" w:rsidP="00AE1254">
      <w:pPr>
        <w:tabs>
          <w:tab w:val="left" w:pos="1440"/>
          <w:tab w:val="left" w:pos="1800"/>
          <w:tab w:val="left" w:pos="2880"/>
        </w:tabs>
        <w:jc w:val="center"/>
        <w:rPr>
          <w:color w:val="000000" w:themeColor="text1"/>
        </w:rPr>
      </w:pPr>
      <w:r>
        <w:rPr>
          <w:color w:val="000000" w:themeColor="text1"/>
        </w:rPr>
        <w:t>__________</w:t>
      </w:r>
    </w:p>
    <w:p w:rsidR="00BA0633" w:rsidRDefault="00BA0633" w:rsidP="00AE1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A0633" w:rsidSect="00D31450">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633" w:rsidRDefault="008B2ADE">
      <w:r>
        <w:separator/>
      </w:r>
    </w:p>
  </w:endnote>
  <w:endnote w:type="continuationSeparator" w:id="0">
    <w:p w:rsidR="00BA0633" w:rsidRDefault="008B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50" w:rsidRDefault="009541BA">
    <w:pPr>
      <w:pStyle w:val="Footer"/>
      <w:tabs>
        <w:tab w:val="clear" w:pos="4680"/>
        <w:tab w:val="clear" w:pos="9360"/>
        <w:tab w:val="center" w:pos="3168"/>
      </w:tabs>
      <w:spacing w:before="120"/>
    </w:pPr>
    <w:r>
      <w:tab/>
    </w:r>
    <w:r w:rsidR="00F46563">
      <w:fldChar w:fldCharType="begin"/>
    </w:r>
    <w:r>
      <w:instrText xml:space="preserve"> PAGE  \* MERGEFORMAT </w:instrText>
    </w:r>
    <w:r w:rsidR="00F46563">
      <w:fldChar w:fldCharType="separate"/>
    </w:r>
    <w:r w:rsidR="00AE1254">
      <w:rPr>
        <w:noProof/>
      </w:rPr>
      <w:t>8</w:t>
    </w:r>
    <w:r w:rsidR="00F4656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50" w:rsidRDefault="003F6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633" w:rsidRDefault="008B2ADE">
      <w:r>
        <w:separator/>
      </w:r>
    </w:p>
  </w:footnote>
  <w:footnote w:type="continuationSeparator" w:id="0">
    <w:p w:rsidR="00BA0633" w:rsidRDefault="008B2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26"/>
    <w:docVar w:name="ActSecretary" w:val="Barden"/>
    <w:docVar w:name="ActSIdno" w:val="(342)  126CM09"/>
    <w:docVar w:name="clipname" w:val="126CM09"/>
    <w:docVar w:name="dvBillNumber" w:val="126"/>
    <w:docVar w:name="dvBillNumberPrefix" w:val="S"/>
    <w:docVar w:name="dvOriginalBody" w:val="Senate"/>
    <w:docVar w:name="OrigSENATEBillNo" w:val="126"/>
    <w:docVar w:name="SENATEACTFULLPATH" w:val="L:\COUNCIL\ACTS\126CM09.DOCX"/>
    <w:docVar w:name="WhatActtype" w:val="AN ACT"/>
  </w:docVars>
  <w:rsids>
    <w:rsidRoot w:val="00BA0633"/>
    <w:rsid w:val="000716B5"/>
    <w:rsid w:val="001D3AAF"/>
    <w:rsid w:val="0039688A"/>
    <w:rsid w:val="003F6A3E"/>
    <w:rsid w:val="00737343"/>
    <w:rsid w:val="0083254B"/>
    <w:rsid w:val="008B2ADE"/>
    <w:rsid w:val="009541BA"/>
    <w:rsid w:val="00AE1254"/>
    <w:rsid w:val="00BA0633"/>
    <w:rsid w:val="00CE118F"/>
    <w:rsid w:val="00D72AC1"/>
    <w:rsid w:val="00E947FA"/>
    <w:rsid w:val="00EC1DC9"/>
    <w:rsid w:val="00ED01C7"/>
    <w:rsid w:val="00F4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9A6925DA-2B93-4E51-8959-A01BB3D1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633"/>
    <w:pPr>
      <w:spacing w:before="0"/>
    </w:pPr>
  </w:style>
  <w:style w:type="paragraph" w:styleId="Heading1">
    <w:name w:val="heading 1"/>
    <w:basedOn w:val="Normal"/>
    <w:next w:val="Normal"/>
    <w:link w:val="Heading1Char"/>
    <w:uiPriority w:val="9"/>
    <w:qFormat/>
    <w:rsid w:val="00BA06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633"/>
    <w:pPr>
      <w:tabs>
        <w:tab w:val="center" w:pos="4680"/>
        <w:tab w:val="right" w:pos="9360"/>
      </w:tabs>
    </w:pPr>
  </w:style>
  <w:style w:type="character" w:customStyle="1" w:styleId="HeaderChar">
    <w:name w:val="Header Char"/>
    <w:basedOn w:val="DefaultParagraphFont"/>
    <w:link w:val="Header"/>
    <w:uiPriority w:val="99"/>
    <w:semiHidden/>
    <w:rsid w:val="00BA0633"/>
  </w:style>
  <w:style w:type="paragraph" w:styleId="Footer">
    <w:name w:val="footer"/>
    <w:basedOn w:val="Normal"/>
    <w:link w:val="FooterChar"/>
    <w:uiPriority w:val="99"/>
    <w:semiHidden/>
    <w:unhideWhenUsed/>
    <w:rsid w:val="00BA0633"/>
    <w:pPr>
      <w:tabs>
        <w:tab w:val="center" w:pos="4680"/>
        <w:tab w:val="right" w:pos="9360"/>
      </w:tabs>
    </w:pPr>
  </w:style>
  <w:style w:type="character" w:customStyle="1" w:styleId="FooterChar">
    <w:name w:val="Footer Char"/>
    <w:basedOn w:val="DefaultParagraphFont"/>
    <w:link w:val="Footer"/>
    <w:uiPriority w:val="99"/>
    <w:semiHidden/>
    <w:rsid w:val="00BA0633"/>
  </w:style>
  <w:style w:type="paragraph" w:customStyle="1" w:styleId="ConSign">
    <w:name w:val="ConSign"/>
    <w:basedOn w:val="Normal"/>
    <w:rsid w:val="00BA0633"/>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BA063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A063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41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03-09.docx" TargetMode="External"/><Relationship Id="rId13" Type="http://schemas.openxmlformats.org/officeDocument/2006/relationships/hyperlink" Target="file:///h:\HJ%20Archive\2009\02-17-09.docx" TargetMode="External"/><Relationship Id="rId18" Type="http://schemas.openxmlformats.org/officeDocument/2006/relationships/hyperlink" Target="file:///h:\HJ%20Archive\2009\04-30-09.docx" TargetMode="External"/><Relationship Id="rId26" Type="http://schemas.openxmlformats.org/officeDocument/2006/relationships/hyperlink" Target="file:///h:\HJ%20Archive\2009\05-21-09.docx" TargetMode="External"/><Relationship Id="rId39" Type="http://schemas.openxmlformats.org/officeDocument/2006/relationships/hyperlink" Target="file:///p:\pprever\2009-10\126_20090512.docx" TargetMode="External"/><Relationship Id="rId3" Type="http://schemas.openxmlformats.org/officeDocument/2006/relationships/webSettings" Target="webSettings.xml"/><Relationship Id="rId21" Type="http://schemas.openxmlformats.org/officeDocument/2006/relationships/hyperlink" Target="file:///h:\SJ%20Archive\2009\05-12-09.docx" TargetMode="External"/><Relationship Id="rId34" Type="http://schemas.openxmlformats.org/officeDocument/2006/relationships/hyperlink" Target="file:///p:\pprever\2009-10\126_20090203.docx" TargetMode="External"/><Relationship Id="rId42" Type="http://schemas.openxmlformats.org/officeDocument/2006/relationships/footer" Target="footer1.xml"/><Relationship Id="rId7" Type="http://schemas.openxmlformats.org/officeDocument/2006/relationships/hyperlink" Target="file:///h:\SJ%20Archive\2009\01-13-09.docx" TargetMode="External"/><Relationship Id="rId12" Type="http://schemas.openxmlformats.org/officeDocument/2006/relationships/hyperlink" Target="file:///h:\HJ%20Archive\2009\02-17-09.docx" TargetMode="External"/><Relationship Id="rId17" Type="http://schemas.openxmlformats.org/officeDocument/2006/relationships/hyperlink" Target="file:///h:\HJ%20Archive\2009\04-30-09.docx" TargetMode="External"/><Relationship Id="rId25" Type="http://schemas.openxmlformats.org/officeDocument/2006/relationships/hyperlink" Target="file:///h:\HJ%20Archive\2009\05-19-09.docx" TargetMode="External"/><Relationship Id="rId33" Type="http://schemas.openxmlformats.org/officeDocument/2006/relationships/hyperlink" Target="file:///p:\pprever\2009-10\126_20081210.docx" TargetMode="External"/><Relationship Id="rId38" Type="http://schemas.openxmlformats.org/officeDocument/2006/relationships/hyperlink" Target="file:///p:\pprever\2009-10\126_20090430.docx" TargetMode="External"/><Relationship Id="rId2" Type="http://schemas.openxmlformats.org/officeDocument/2006/relationships/settings" Target="settings.xml"/><Relationship Id="rId16" Type="http://schemas.openxmlformats.org/officeDocument/2006/relationships/hyperlink" Target="file:///h:\HJ%20Archive\2009\04-30-09.docx" TargetMode="External"/><Relationship Id="rId20" Type="http://schemas.openxmlformats.org/officeDocument/2006/relationships/hyperlink" Target="file:///h:\SJ%20Archive\2009\05-12-09.docx" TargetMode="External"/><Relationship Id="rId29" Type="http://schemas.openxmlformats.org/officeDocument/2006/relationships/hyperlink" Target="file:///h:\SJ%20Archive\2009\05-21-09.docx" TargetMode="External"/><Relationship Id="rId41" Type="http://schemas.openxmlformats.org/officeDocument/2006/relationships/hyperlink" Target="file:///p:\pprever\2009-10\126_20090521.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2-12-09.docx" TargetMode="External"/><Relationship Id="rId24" Type="http://schemas.openxmlformats.org/officeDocument/2006/relationships/hyperlink" Target="file:///h:\SJ%20Archive\2009\05-14-09.docx" TargetMode="External"/><Relationship Id="rId32" Type="http://schemas.openxmlformats.org/officeDocument/2006/relationships/hyperlink" Target="file:///h:\HJ%20Archive\2009\05-21-09.docx" TargetMode="External"/><Relationship Id="rId37" Type="http://schemas.openxmlformats.org/officeDocument/2006/relationships/hyperlink" Target="file:///p:\pprever\2009-10\126_20090429.docx" TargetMode="External"/><Relationship Id="rId40" Type="http://schemas.openxmlformats.org/officeDocument/2006/relationships/hyperlink" Target="file:///p:\pprever\2009-10\126_20090513.docx"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09\04-29-09.docx" TargetMode="External"/><Relationship Id="rId23" Type="http://schemas.openxmlformats.org/officeDocument/2006/relationships/hyperlink" Target="file:///h:\HJ%20Archive\2009\05-14-09.docx" TargetMode="External"/><Relationship Id="rId28" Type="http://schemas.openxmlformats.org/officeDocument/2006/relationships/hyperlink" Target="file:///h:\SJ%20Archive\2009\05-21-09.docx" TargetMode="External"/><Relationship Id="rId36" Type="http://schemas.openxmlformats.org/officeDocument/2006/relationships/hyperlink" Target="file:///p:\pprever\2009-10\126_20090428.docx" TargetMode="External"/><Relationship Id="rId10" Type="http://schemas.openxmlformats.org/officeDocument/2006/relationships/hyperlink" Target="file:///h:\SJ%20Archive\2009\02-11-09.docx" TargetMode="External"/><Relationship Id="rId19" Type="http://schemas.openxmlformats.org/officeDocument/2006/relationships/hyperlink" Target="file:///h:\HJ%20Archive\2009\05-01-09.docx" TargetMode="External"/><Relationship Id="rId31" Type="http://schemas.openxmlformats.org/officeDocument/2006/relationships/hyperlink" Target="file:///h:\HJ%20Archive\2009\05-21-09.docx"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2-11-09.docx" TargetMode="External"/><Relationship Id="rId14" Type="http://schemas.openxmlformats.org/officeDocument/2006/relationships/hyperlink" Target="file:///h:\HJ%20Archive\2009\04-28-09.docx" TargetMode="External"/><Relationship Id="rId22" Type="http://schemas.openxmlformats.org/officeDocument/2006/relationships/hyperlink" Target="file:///h:\HJ%20Archive\2009\05-14-09.docx" TargetMode="External"/><Relationship Id="rId27" Type="http://schemas.openxmlformats.org/officeDocument/2006/relationships/hyperlink" Target="file:///h:\HJ%20Archive\2009\05-21-09.docx" TargetMode="External"/><Relationship Id="rId30" Type="http://schemas.openxmlformats.org/officeDocument/2006/relationships/hyperlink" Target="file:///h:\SJ%20Archive\2009\05-21-09.docx" TargetMode="External"/><Relationship Id="rId35" Type="http://schemas.openxmlformats.org/officeDocument/2006/relationships/hyperlink" Target="file:///p:\pprever\2009-10\126_20090211.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3225</Words>
  <Characters>17324</Characters>
  <Application>Microsoft Office Word</Application>
  <DocSecurity>0</DocSecurity>
  <Lines>410</Lines>
  <Paragraphs>125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126: Special license tags - South Carolina Legislature Online</dc:title>
  <dc:subject/>
  <dc:creator>Sandy Barden</dc:creator>
  <cp:keywords/>
  <dc:description/>
  <cp:lastModifiedBy>N Cumfer</cp:lastModifiedBy>
  <cp:revision>6</cp:revision>
  <cp:lastPrinted>2009-05-22T17:09:00Z</cp:lastPrinted>
  <dcterms:created xsi:type="dcterms:W3CDTF">2009-08-04T14:51:00Z</dcterms:created>
  <dcterms:modified xsi:type="dcterms:W3CDTF">2014-11-24T14:54:00Z</dcterms:modified>
</cp:coreProperties>
</file>