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378" w:rsidRDefault="0086669A">
      <w:pPr>
        <w:widowControl w:val="0"/>
        <w:jc w:val="center"/>
        <w:rPr>
          <w:rFonts w:cs="Times New Roman"/>
        </w:rPr>
      </w:pPr>
      <w:bookmarkStart w:id="0" w:name="_GoBack"/>
      <w:bookmarkEnd w:id="0"/>
      <w:r>
        <w:rPr>
          <w:rFonts w:cs="Times New Roman"/>
          <w:b/>
        </w:rPr>
        <w:t>South Carolina General Assembly</w:t>
      </w:r>
    </w:p>
    <w:p w:rsidR="00B37378" w:rsidRDefault="0086669A">
      <w:pPr>
        <w:widowControl w:val="0"/>
        <w:jc w:val="center"/>
        <w:rPr>
          <w:rFonts w:cs="Times New Roman"/>
        </w:rPr>
      </w:pPr>
      <w:r>
        <w:rPr>
          <w:rFonts w:cs="Times New Roman"/>
        </w:rPr>
        <w:t>118th Session, 2009-2010</w:t>
      </w:r>
    </w:p>
    <w:p w:rsidR="00B37378" w:rsidRDefault="00B37378">
      <w:pPr>
        <w:widowControl w:val="0"/>
        <w:jc w:val="left"/>
        <w:rPr>
          <w:rFonts w:cs="Times New Roman"/>
        </w:rPr>
      </w:pPr>
    </w:p>
    <w:p w:rsidR="00B37378" w:rsidRDefault="0086669A">
      <w:pPr>
        <w:widowControl w:val="0"/>
        <w:jc w:val="left"/>
        <w:rPr>
          <w:rFonts w:cs="Times New Roman"/>
          <w:b/>
        </w:rPr>
      </w:pPr>
      <w:r>
        <w:rPr>
          <w:rFonts w:cs="Times New Roman"/>
          <w:b/>
        </w:rPr>
        <w:t>S. 202</w:t>
      </w:r>
    </w:p>
    <w:p w:rsidR="00B37378" w:rsidRDefault="00B37378">
      <w:pPr>
        <w:widowControl w:val="0"/>
        <w:jc w:val="left"/>
        <w:rPr>
          <w:rFonts w:cs="Times New Roman"/>
          <w:b/>
        </w:rPr>
      </w:pPr>
    </w:p>
    <w:p w:rsidR="00B37378" w:rsidRDefault="0086669A">
      <w:pPr>
        <w:widowControl w:val="0"/>
        <w:jc w:val="left"/>
        <w:rPr>
          <w:rFonts w:cs="Times New Roman"/>
        </w:rPr>
      </w:pPr>
      <w:r>
        <w:rPr>
          <w:rFonts w:cs="Times New Roman"/>
          <w:b/>
        </w:rPr>
        <w:t>STATUS INFORMATION</w:t>
      </w:r>
    </w:p>
    <w:p w:rsidR="00B37378" w:rsidRDefault="00B37378">
      <w:pPr>
        <w:widowControl w:val="0"/>
        <w:jc w:val="left"/>
        <w:rPr>
          <w:rFonts w:cs="Times New Roman"/>
        </w:rPr>
      </w:pPr>
    </w:p>
    <w:p w:rsidR="00B37378" w:rsidRDefault="0086669A">
      <w:pPr>
        <w:widowControl w:val="0"/>
        <w:jc w:val="left"/>
        <w:rPr>
          <w:rFonts w:cs="Times New Roman"/>
        </w:rPr>
      </w:pPr>
      <w:r>
        <w:rPr>
          <w:rFonts w:cs="Times New Roman"/>
        </w:rPr>
        <w:t>General Bill</w:t>
      </w:r>
    </w:p>
    <w:p w:rsidR="00B37378" w:rsidRDefault="004E0EB3">
      <w:pPr>
        <w:widowControl w:val="0"/>
        <w:jc w:val="left"/>
        <w:rPr>
          <w:rFonts w:cs="Times New Roman"/>
        </w:rPr>
      </w:pPr>
      <w:r>
        <w:rPr>
          <w:rFonts w:cs="Times New Roman"/>
        </w:rPr>
        <w:t>Sponsors: Senators Thomas and Ford</w:t>
      </w:r>
    </w:p>
    <w:p w:rsidR="00B37378" w:rsidRDefault="0086669A">
      <w:pPr>
        <w:widowControl w:val="0"/>
        <w:jc w:val="left"/>
        <w:rPr>
          <w:rFonts w:cs="Times New Roman"/>
        </w:rPr>
      </w:pPr>
      <w:r>
        <w:rPr>
          <w:rFonts w:cs="Times New Roman"/>
        </w:rPr>
        <w:t>Document Path: l:\council\bills\dka\3075dw09.docx</w:t>
      </w:r>
    </w:p>
    <w:p w:rsidR="00B37378" w:rsidRDefault="00B37378">
      <w:pPr>
        <w:widowControl w:val="0"/>
        <w:jc w:val="left"/>
        <w:rPr>
          <w:rFonts w:cs="Times New Roman"/>
        </w:rPr>
      </w:pPr>
    </w:p>
    <w:p w:rsidR="00CC00DF" w:rsidRDefault="00CC00DF">
      <w:pPr>
        <w:widowControl w:val="0"/>
        <w:jc w:val="left"/>
        <w:rPr>
          <w:rFonts w:cs="Times New Roman"/>
        </w:rPr>
      </w:pPr>
      <w:r>
        <w:rPr>
          <w:rFonts w:cs="Times New Roman"/>
        </w:rPr>
        <w:t>Introduced in the Senate on January 13, 2009</w:t>
      </w:r>
    </w:p>
    <w:p w:rsidR="00CC00DF" w:rsidRDefault="00CC00DF">
      <w:pPr>
        <w:widowControl w:val="0"/>
        <w:jc w:val="left"/>
        <w:rPr>
          <w:rFonts w:cs="Times New Roman"/>
        </w:rPr>
      </w:pPr>
      <w:r>
        <w:rPr>
          <w:rFonts w:cs="Times New Roman"/>
        </w:rPr>
        <w:t>Introduced in the House on March 25, 2009</w:t>
      </w:r>
    </w:p>
    <w:p w:rsidR="00CC00DF" w:rsidRDefault="00CC00DF">
      <w:pPr>
        <w:widowControl w:val="0"/>
        <w:jc w:val="left"/>
        <w:rPr>
          <w:rFonts w:cs="Times New Roman"/>
        </w:rPr>
      </w:pPr>
      <w:r>
        <w:rPr>
          <w:rFonts w:cs="Times New Roman"/>
        </w:rPr>
        <w:t>Last Amended on May 14, 2009</w:t>
      </w:r>
    </w:p>
    <w:p w:rsidR="00CC00DF" w:rsidRDefault="00CC00DF">
      <w:pPr>
        <w:widowControl w:val="0"/>
        <w:jc w:val="left"/>
        <w:rPr>
          <w:rFonts w:cs="Times New Roman"/>
        </w:rPr>
      </w:pPr>
      <w:r>
        <w:rPr>
          <w:rFonts w:cs="Times New Roman"/>
        </w:rPr>
        <w:t>Currently residing in the Senate</w:t>
      </w:r>
    </w:p>
    <w:p w:rsidR="00CC00DF" w:rsidRDefault="00CC00DF">
      <w:pPr>
        <w:widowControl w:val="0"/>
        <w:jc w:val="left"/>
        <w:rPr>
          <w:rFonts w:cs="Times New Roman"/>
        </w:rPr>
      </w:pPr>
    </w:p>
    <w:p w:rsidR="00B37378" w:rsidRDefault="0086669A">
      <w:pPr>
        <w:widowControl w:val="0"/>
        <w:jc w:val="left"/>
        <w:rPr>
          <w:rFonts w:cs="Times New Roman"/>
        </w:rPr>
      </w:pPr>
      <w:r>
        <w:rPr>
          <w:rFonts w:cs="Times New Roman"/>
        </w:rPr>
        <w:t>Summary: Insurance</w:t>
      </w:r>
    </w:p>
    <w:p w:rsidR="00B37378" w:rsidRDefault="00B37378">
      <w:pPr>
        <w:widowControl w:val="0"/>
        <w:jc w:val="left"/>
        <w:rPr>
          <w:rFonts w:cs="Times New Roman"/>
        </w:rPr>
      </w:pPr>
    </w:p>
    <w:p w:rsidR="00B37378" w:rsidRDefault="00B37378">
      <w:pPr>
        <w:widowControl w:val="0"/>
        <w:jc w:val="left"/>
        <w:rPr>
          <w:rFonts w:cs="Times New Roman"/>
        </w:rPr>
      </w:pPr>
    </w:p>
    <w:p w:rsidR="00B37378" w:rsidRDefault="0086669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37378" w:rsidRDefault="00B37378">
      <w:pPr>
        <w:widowControl w:val="0"/>
        <w:tabs>
          <w:tab w:val="center" w:pos="590"/>
          <w:tab w:val="center" w:pos="1440"/>
          <w:tab w:val="left" w:pos="1872"/>
          <w:tab w:val="left" w:pos="9187"/>
        </w:tabs>
        <w:jc w:val="left"/>
        <w:rPr>
          <w:rFonts w:cs="Times New Roman"/>
        </w:rPr>
      </w:pPr>
    </w:p>
    <w:p w:rsidR="00B37378" w:rsidRDefault="0086669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921CF8">
        <w:rPr>
          <w:rFonts w:cs="Times New Roman"/>
        </w:rPr>
        <w:t>Prefiled</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921CF8">
        <w:rPr>
          <w:rFonts w:cs="Times New Roman"/>
        </w:rPr>
        <w:t xml:space="preserve">Referred to Committee on </w:t>
      </w:r>
      <w:r w:rsidRPr="00921CF8">
        <w:rPr>
          <w:rFonts w:cs="Times New Roman"/>
          <w:b/>
        </w:rPr>
        <w:t>Banking and Insurance</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921CF8">
        <w:rPr>
          <w:rFonts w:cs="Times New Roman"/>
        </w:rPr>
        <w:t xml:space="preserve">Introduced and read first time </w:t>
      </w:r>
      <w:hyperlink r:id="rId6" w:history="1">
        <w:r w:rsidRPr="00E0207D">
          <w:rPr>
            <w:rStyle w:val="Hyperlink"/>
            <w:rFonts w:cs="Times New Roman"/>
          </w:rPr>
          <w:t>SJ</w:t>
        </w:r>
      </w:hyperlink>
      <w:r>
        <w:rPr>
          <w:rFonts w:cs="Times New Roman"/>
        </w:rPr>
        <w:noBreakHyphen/>
      </w:r>
      <w:r w:rsidRPr="00921CF8">
        <w:rPr>
          <w:rFonts w:cs="Times New Roman"/>
        </w:rPr>
        <w:t>166</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921CF8">
        <w:rPr>
          <w:rFonts w:cs="Times New Roman"/>
        </w:rPr>
        <w:t xml:space="preserve">Referred to Committee on </w:t>
      </w:r>
      <w:r w:rsidRPr="00921CF8">
        <w:rPr>
          <w:rFonts w:cs="Times New Roman"/>
          <w:b/>
        </w:rPr>
        <w:t>Banking and Insurance</w:t>
      </w:r>
      <w:r w:rsidRPr="00921CF8">
        <w:rPr>
          <w:rFonts w:cs="Times New Roman"/>
        </w:rPr>
        <w:t xml:space="preserve"> </w:t>
      </w:r>
      <w:hyperlink r:id="rId7" w:history="1">
        <w:r w:rsidRPr="00E0207D">
          <w:rPr>
            <w:rStyle w:val="Hyperlink"/>
            <w:rFonts w:cs="Times New Roman"/>
          </w:rPr>
          <w:t>SJ</w:t>
        </w:r>
      </w:hyperlink>
      <w:r>
        <w:rPr>
          <w:rFonts w:cs="Times New Roman"/>
        </w:rPr>
        <w:noBreakHyphen/>
      </w:r>
      <w:r w:rsidRPr="00921CF8">
        <w:rPr>
          <w:rFonts w:cs="Times New Roman"/>
        </w:rPr>
        <w:t>166</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Senate</w:t>
      </w:r>
      <w:r>
        <w:rPr>
          <w:rFonts w:cs="Times New Roman"/>
        </w:rPr>
        <w:tab/>
      </w:r>
      <w:r w:rsidRPr="00921CF8">
        <w:rPr>
          <w:rFonts w:cs="Times New Roman"/>
        </w:rPr>
        <w:t xml:space="preserve">Committee report: Favorable </w:t>
      </w:r>
      <w:r w:rsidRPr="00921CF8">
        <w:rPr>
          <w:rFonts w:cs="Times New Roman"/>
          <w:b/>
        </w:rPr>
        <w:t>Banking and Insurance</w:t>
      </w:r>
      <w:r w:rsidRPr="00921CF8">
        <w:rPr>
          <w:rFonts w:cs="Times New Roman"/>
        </w:rPr>
        <w:t xml:space="preserve"> </w:t>
      </w:r>
      <w:hyperlink r:id="rId8" w:history="1">
        <w:r w:rsidRPr="00E0207D">
          <w:rPr>
            <w:rStyle w:val="Hyperlink"/>
            <w:rFonts w:cs="Times New Roman"/>
          </w:rPr>
          <w:t>SJ</w:t>
        </w:r>
      </w:hyperlink>
      <w:r>
        <w:rPr>
          <w:rFonts w:cs="Times New Roman"/>
        </w:rPr>
        <w:noBreakHyphen/>
      </w:r>
      <w:r w:rsidRPr="00921CF8">
        <w:rPr>
          <w:rFonts w:cs="Times New Roman"/>
        </w:rPr>
        <w:t>9</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3/12/2009</w:t>
      </w:r>
      <w:r>
        <w:rPr>
          <w:rFonts w:cs="Times New Roman"/>
        </w:rPr>
        <w:tab/>
      </w:r>
      <w:r>
        <w:rPr>
          <w:rFonts w:cs="Times New Roman"/>
        </w:rPr>
        <w:tab/>
      </w:r>
      <w:r w:rsidRPr="00921CF8">
        <w:rPr>
          <w:rFonts w:cs="Times New Roman"/>
        </w:rPr>
        <w:t>Scrivener's error corrected</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3/17/2009</w:t>
      </w:r>
      <w:r>
        <w:rPr>
          <w:rFonts w:cs="Times New Roman"/>
        </w:rPr>
        <w:tab/>
        <w:t>Senate</w:t>
      </w:r>
      <w:r>
        <w:rPr>
          <w:rFonts w:cs="Times New Roman"/>
        </w:rPr>
        <w:tab/>
      </w:r>
      <w:r w:rsidRPr="00921CF8">
        <w:rPr>
          <w:rFonts w:cs="Times New Roman"/>
        </w:rPr>
        <w:t xml:space="preserve">Read second time </w:t>
      </w:r>
      <w:hyperlink r:id="rId9" w:history="1">
        <w:r w:rsidRPr="00E0207D">
          <w:rPr>
            <w:rStyle w:val="Hyperlink"/>
            <w:rFonts w:cs="Times New Roman"/>
          </w:rPr>
          <w:t>SJ</w:t>
        </w:r>
      </w:hyperlink>
      <w:r>
        <w:rPr>
          <w:rFonts w:cs="Times New Roman"/>
        </w:rPr>
        <w:noBreakHyphen/>
      </w:r>
      <w:r w:rsidRPr="00921CF8">
        <w:rPr>
          <w:rFonts w:cs="Times New Roman"/>
        </w:rPr>
        <w:t>10</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3/24/2009</w:t>
      </w:r>
      <w:r>
        <w:rPr>
          <w:rFonts w:cs="Times New Roman"/>
        </w:rPr>
        <w:tab/>
        <w:t>Senate</w:t>
      </w:r>
      <w:r>
        <w:rPr>
          <w:rFonts w:cs="Times New Roman"/>
        </w:rPr>
        <w:tab/>
      </w:r>
      <w:r w:rsidRPr="00921CF8">
        <w:rPr>
          <w:rFonts w:cs="Times New Roman"/>
        </w:rPr>
        <w:t xml:space="preserve">Read third time and sent to House </w:t>
      </w:r>
      <w:hyperlink r:id="rId10" w:history="1">
        <w:r w:rsidRPr="00E0207D">
          <w:rPr>
            <w:rStyle w:val="Hyperlink"/>
            <w:rFonts w:cs="Times New Roman"/>
          </w:rPr>
          <w:t>SJ</w:t>
        </w:r>
      </w:hyperlink>
      <w:r>
        <w:rPr>
          <w:rFonts w:cs="Times New Roman"/>
        </w:rPr>
        <w:noBreakHyphen/>
      </w:r>
      <w:r w:rsidRPr="00921CF8">
        <w:rPr>
          <w:rFonts w:cs="Times New Roman"/>
        </w:rPr>
        <w:t>21</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House</w:t>
      </w:r>
      <w:r>
        <w:rPr>
          <w:rFonts w:cs="Times New Roman"/>
        </w:rPr>
        <w:tab/>
      </w:r>
      <w:r w:rsidRPr="00921CF8">
        <w:rPr>
          <w:rFonts w:cs="Times New Roman"/>
        </w:rPr>
        <w:t xml:space="preserve">Introduced and read first time </w:t>
      </w:r>
      <w:hyperlink r:id="rId11" w:history="1">
        <w:r w:rsidRPr="00E0207D">
          <w:rPr>
            <w:rStyle w:val="Hyperlink"/>
            <w:rFonts w:cs="Times New Roman"/>
          </w:rPr>
          <w:t>HJ</w:t>
        </w:r>
      </w:hyperlink>
      <w:r>
        <w:rPr>
          <w:rFonts w:cs="Times New Roman"/>
        </w:rPr>
        <w:noBreakHyphen/>
      </w:r>
      <w:r w:rsidRPr="00921CF8">
        <w:rPr>
          <w:rFonts w:cs="Times New Roman"/>
        </w:rPr>
        <w:t>11</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House</w:t>
      </w:r>
      <w:r>
        <w:rPr>
          <w:rFonts w:cs="Times New Roman"/>
        </w:rPr>
        <w:tab/>
      </w:r>
      <w:r w:rsidRPr="00921CF8">
        <w:rPr>
          <w:rFonts w:cs="Times New Roman"/>
        </w:rPr>
        <w:t>Referred to C</w:t>
      </w:r>
      <w:r>
        <w:rPr>
          <w:rFonts w:cs="Times New Roman"/>
        </w:rPr>
        <w:t xml:space="preserve">ommittee on </w:t>
      </w:r>
      <w:r w:rsidRPr="00921CF8">
        <w:rPr>
          <w:rFonts w:cs="Times New Roman"/>
          <w:b/>
        </w:rPr>
        <w:t>Labor, Commerce and Industry</w:t>
      </w:r>
      <w:r w:rsidRPr="00921CF8">
        <w:rPr>
          <w:rFonts w:cs="Times New Roman"/>
        </w:rPr>
        <w:t xml:space="preserve"> </w:t>
      </w:r>
      <w:hyperlink r:id="rId12" w:history="1">
        <w:r w:rsidRPr="00E0207D">
          <w:rPr>
            <w:rStyle w:val="Hyperlink"/>
            <w:rFonts w:cs="Times New Roman"/>
          </w:rPr>
          <w:t>HJ</w:t>
        </w:r>
      </w:hyperlink>
      <w:r>
        <w:rPr>
          <w:rFonts w:cs="Times New Roman"/>
        </w:rPr>
        <w:noBreakHyphen/>
      </w:r>
      <w:r w:rsidRPr="00921CF8">
        <w:rPr>
          <w:rFonts w:cs="Times New Roman"/>
        </w:rPr>
        <w:t>12</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4/30/2009</w:t>
      </w:r>
      <w:r>
        <w:rPr>
          <w:rFonts w:cs="Times New Roman"/>
        </w:rPr>
        <w:tab/>
        <w:t>House</w:t>
      </w:r>
      <w:r>
        <w:rPr>
          <w:rFonts w:cs="Times New Roman"/>
        </w:rPr>
        <w:tab/>
      </w:r>
      <w:r w:rsidRPr="00921CF8">
        <w:rPr>
          <w:rFonts w:cs="Times New Roman"/>
        </w:rPr>
        <w:t>Committee report: Fa</w:t>
      </w:r>
      <w:r>
        <w:rPr>
          <w:rFonts w:cs="Times New Roman"/>
        </w:rPr>
        <w:t xml:space="preserve">vorable with amendment </w:t>
      </w:r>
      <w:r w:rsidRPr="00921CF8">
        <w:rPr>
          <w:rFonts w:cs="Times New Roman"/>
          <w:b/>
        </w:rPr>
        <w:t>Labor, Commerce and Industry</w:t>
      </w:r>
      <w:r w:rsidRPr="00921CF8">
        <w:rPr>
          <w:rFonts w:cs="Times New Roman"/>
        </w:rPr>
        <w:t xml:space="preserve"> </w:t>
      </w:r>
      <w:hyperlink r:id="rId13" w:history="1">
        <w:r w:rsidRPr="00E0207D">
          <w:rPr>
            <w:rStyle w:val="Hyperlink"/>
            <w:rFonts w:cs="Times New Roman"/>
          </w:rPr>
          <w:t>HJ</w:t>
        </w:r>
      </w:hyperlink>
      <w:r>
        <w:rPr>
          <w:rFonts w:cs="Times New Roman"/>
        </w:rPr>
        <w:noBreakHyphen/>
      </w:r>
      <w:r w:rsidRPr="00921CF8">
        <w:rPr>
          <w:rFonts w:cs="Times New Roman"/>
        </w:rPr>
        <w:t>3</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5/12/2009</w:t>
      </w:r>
      <w:r>
        <w:rPr>
          <w:rFonts w:cs="Times New Roman"/>
        </w:rPr>
        <w:tab/>
        <w:t>House</w:t>
      </w:r>
      <w:r>
        <w:rPr>
          <w:rFonts w:cs="Times New Roman"/>
        </w:rPr>
        <w:tab/>
      </w:r>
      <w:r w:rsidRPr="00921CF8">
        <w:rPr>
          <w:rFonts w:cs="Times New Roman"/>
        </w:rPr>
        <w:t>Objection by Rep</w:t>
      </w:r>
      <w:r>
        <w:rPr>
          <w:rFonts w:cs="Times New Roman"/>
        </w:rPr>
        <w:t>. </w:t>
      </w:r>
      <w:r w:rsidRPr="00921CF8">
        <w:rPr>
          <w:rFonts w:cs="Times New Roman"/>
        </w:rPr>
        <w:t xml:space="preserve">Kennedy </w:t>
      </w:r>
      <w:hyperlink r:id="rId14" w:history="1">
        <w:r w:rsidRPr="00E0207D">
          <w:rPr>
            <w:rStyle w:val="Hyperlink"/>
            <w:rFonts w:cs="Times New Roman"/>
          </w:rPr>
          <w:t>HJ</w:t>
        </w:r>
      </w:hyperlink>
      <w:r>
        <w:rPr>
          <w:rFonts w:cs="Times New Roman"/>
        </w:rPr>
        <w:noBreakHyphen/>
      </w:r>
      <w:r w:rsidRPr="00921CF8">
        <w:rPr>
          <w:rFonts w:cs="Times New Roman"/>
        </w:rPr>
        <w:t>28</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5/12/2009</w:t>
      </w:r>
      <w:r>
        <w:rPr>
          <w:rFonts w:cs="Times New Roman"/>
        </w:rPr>
        <w:tab/>
        <w:t>House</w:t>
      </w:r>
      <w:r>
        <w:rPr>
          <w:rFonts w:cs="Times New Roman"/>
        </w:rPr>
        <w:tab/>
      </w:r>
      <w:r w:rsidRPr="00921CF8">
        <w:rPr>
          <w:rFonts w:cs="Times New Roman"/>
        </w:rPr>
        <w:t>Requests for deb</w:t>
      </w:r>
      <w:r>
        <w:rPr>
          <w:rFonts w:cs="Times New Roman"/>
        </w:rPr>
        <w:t>ate</w:t>
      </w:r>
      <w:r>
        <w:rPr>
          <w:rFonts w:cs="Times New Roman"/>
        </w:rPr>
        <w:noBreakHyphen/>
        <w:t xml:space="preserve">Rep(s). R Brown, Ott, Hart, </w:t>
      </w:r>
      <w:r w:rsidRPr="00921CF8">
        <w:rPr>
          <w:rFonts w:cs="Times New Roman"/>
        </w:rPr>
        <w:t xml:space="preserve">Govan, Hosey, Lowe, Crawford, and Sandifer </w:t>
      </w:r>
      <w:hyperlink r:id="rId15" w:history="1">
        <w:r w:rsidRPr="00E0207D">
          <w:rPr>
            <w:rStyle w:val="Hyperlink"/>
            <w:rFonts w:cs="Times New Roman"/>
          </w:rPr>
          <w:t>HJ</w:t>
        </w:r>
      </w:hyperlink>
      <w:r>
        <w:rPr>
          <w:rFonts w:cs="Times New Roman"/>
        </w:rPr>
        <w:noBreakHyphen/>
      </w:r>
      <w:r w:rsidRPr="00921CF8">
        <w:rPr>
          <w:rFonts w:cs="Times New Roman"/>
        </w:rPr>
        <w:t>28</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5/14/2009</w:t>
      </w:r>
      <w:r>
        <w:rPr>
          <w:rFonts w:cs="Times New Roman"/>
        </w:rPr>
        <w:tab/>
        <w:t>House</w:t>
      </w:r>
      <w:r>
        <w:rPr>
          <w:rFonts w:cs="Times New Roman"/>
        </w:rPr>
        <w:tab/>
      </w:r>
      <w:r w:rsidRPr="00921CF8">
        <w:rPr>
          <w:rFonts w:cs="Times New Roman"/>
        </w:rPr>
        <w:t xml:space="preserve">Amended </w:t>
      </w:r>
      <w:hyperlink r:id="rId16" w:history="1">
        <w:r w:rsidRPr="00E0207D">
          <w:rPr>
            <w:rStyle w:val="Hyperlink"/>
            <w:rFonts w:cs="Times New Roman"/>
          </w:rPr>
          <w:t>HJ</w:t>
        </w:r>
      </w:hyperlink>
      <w:r>
        <w:rPr>
          <w:rFonts w:cs="Times New Roman"/>
        </w:rPr>
        <w:noBreakHyphen/>
      </w:r>
      <w:r w:rsidRPr="00921CF8">
        <w:rPr>
          <w:rFonts w:cs="Times New Roman"/>
        </w:rPr>
        <w:t>71</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5/14/2009</w:t>
      </w:r>
      <w:r>
        <w:rPr>
          <w:rFonts w:cs="Times New Roman"/>
        </w:rPr>
        <w:tab/>
        <w:t>House</w:t>
      </w:r>
      <w:r>
        <w:rPr>
          <w:rFonts w:cs="Times New Roman"/>
        </w:rPr>
        <w:tab/>
      </w:r>
      <w:r w:rsidRPr="00921CF8">
        <w:rPr>
          <w:rFonts w:cs="Times New Roman"/>
        </w:rPr>
        <w:t xml:space="preserve">Read second time </w:t>
      </w:r>
      <w:hyperlink r:id="rId17" w:history="1">
        <w:r w:rsidRPr="00E0207D">
          <w:rPr>
            <w:rStyle w:val="Hyperlink"/>
            <w:rFonts w:cs="Times New Roman"/>
          </w:rPr>
          <w:t>HJ</w:t>
        </w:r>
      </w:hyperlink>
      <w:r>
        <w:rPr>
          <w:rFonts w:cs="Times New Roman"/>
        </w:rPr>
        <w:noBreakHyphen/>
      </w:r>
      <w:r w:rsidRPr="00921CF8">
        <w:rPr>
          <w:rFonts w:cs="Times New Roman"/>
        </w:rPr>
        <w:t>76</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5/14/2009</w:t>
      </w:r>
      <w:r>
        <w:rPr>
          <w:rFonts w:cs="Times New Roman"/>
        </w:rPr>
        <w:tab/>
        <w:t>House</w:t>
      </w:r>
      <w:r>
        <w:rPr>
          <w:rFonts w:cs="Times New Roman"/>
        </w:rPr>
        <w:tab/>
      </w:r>
      <w:r w:rsidRPr="00921CF8">
        <w:rPr>
          <w:rFonts w:cs="Times New Roman"/>
        </w:rPr>
        <w:t>Roll call Yeas</w:t>
      </w:r>
      <w:r>
        <w:rPr>
          <w:rFonts w:cs="Times New Roman"/>
        </w:rPr>
        <w:noBreakHyphen/>
      </w:r>
      <w:r w:rsidRPr="00921CF8">
        <w:rPr>
          <w:rFonts w:cs="Times New Roman"/>
        </w:rPr>
        <w:t>112  Nays</w:t>
      </w:r>
      <w:r>
        <w:rPr>
          <w:rFonts w:cs="Times New Roman"/>
        </w:rPr>
        <w:noBreakHyphen/>
      </w:r>
      <w:r w:rsidRPr="00921CF8">
        <w:rPr>
          <w:rFonts w:cs="Times New Roman"/>
        </w:rPr>
        <w:t xml:space="preserve">0 </w:t>
      </w:r>
      <w:hyperlink r:id="rId18" w:history="1">
        <w:r w:rsidRPr="00E0207D">
          <w:rPr>
            <w:rStyle w:val="Hyperlink"/>
            <w:rFonts w:cs="Times New Roman"/>
          </w:rPr>
          <w:t>HJ</w:t>
        </w:r>
      </w:hyperlink>
      <w:r>
        <w:rPr>
          <w:rFonts w:cs="Times New Roman"/>
        </w:rPr>
        <w:noBreakHyphen/>
      </w:r>
      <w:r w:rsidRPr="00921CF8">
        <w:rPr>
          <w:rFonts w:cs="Times New Roman"/>
        </w:rPr>
        <w:t>76</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5/14/2009</w:t>
      </w:r>
      <w:r>
        <w:rPr>
          <w:rFonts w:cs="Times New Roman"/>
        </w:rPr>
        <w:tab/>
        <w:t>House</w:t>
      </w:r>
      <w:r>
        <w:rPr>
          <w:rFonts w:cs="Times New Roman"/>
        </w:rPr>
        <w:tab/>
      </w:r>
      <w:r w:rsidRPr="00921CF8">
        <w:rPr>
          <w:rFonts w:cs="Times New Roman"/>
        </w:rPr>
        <w:t>Unanimous co</w:t>
      </w:r>
      <w:r>
        <w:rPr>
          <w:rFonts w:cs="Times New Roman"/>
        </w:rPr>
        <w:t xml:space="preserve">nsent for third reading on next </w:t>
      </w:r>
      <w:r w:rsidRPr="00921CF8">
        <w:rPr>
          <w:rFonts w:cs="Times New Roman"/>
        </w:rPr>
        <w:t xml:space="preserve">legislative day </w:t>
      </w:r>
      <w:hyperlink r:id="rId19" w:history="1">
        <w:r w:rsidRPr="00E0207D">
          <w:rPr>
            <w:rStyle w:val="Hyperlink"/>
            <w:rFonts w:cs="Times New Roman"/>
          </w:rPr>
          <w:t>HJ</w:t>
        </w:r>
      </w:hyperlink>
      <w:r>
        <w:rPr>
          <w:rFonts w:cs="Times New Roman"/>
        </w:rPr>
        <w:noBreakHyphen/>
      </w:r>
      <w:r w:rsidRPr="00921CF8">
        <w:rPr>
          <w:rFonts w:cs="Times New Roman"/>
        </w:rPr>
        <w:t>77</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5/15/2009</w:t>
      </w:r>
      <w:r>
        <w:rPr>
          <w:rFonts w:cs="Times New Roman"/>
        </w:rPr>
        <w:tab/>
        <w:t>House</w:t>
      </w:r>
      <w:r>
        <w:rPr>
          <w:rFonts w:cs="Times New Roman"/>
        </w:rPr>
        <w:tab/>
      </w:r>
      <w:r w:rsidRPr="00921CF8">
        <w:rPr>
          <w:rFonts w:cs="Times New Roman"/>
        </w:rPr>
        <w:t>Read third t</w:t>
      </w:r>
      <w:r>
        <w:rPr>
          <w:rFonts w:cs="Times New Roman"/>
        </w:rPr>
        <w:t xml:space="preserve">ime and returned to Senate with </w:t>
      </w:r>
      <w:r w:rsidRPr="00921CF8">
        <w:rPr>
          <w:rFonts w:cs="Times New Roman"/>
        </w:rPr>
        <w:t xml:space="preserve">amendments </w:t>
      </w:r>
      <w:hyperlink r:id="rId20" w:history="1">
        <w:r w:rsidRPr="00E0207D">
          <w:rPr>
            <w:rStyle w:val="Hyperlink"/>
            <w:rFonts w:cs="Times New Roman"/>
          </w:rPr>
          <w:t>HJ</w:t>
        </w:r>
      </w:hyperlink>
      <w:r>
        <w:rPr>
          <w:rFonts w:cs="Times New Roman"/>
        </w:rPr>
        <w:noBreakHyphen/>
      </w:r>
      <w:r w:rsidRPr="00921CF8">
        <w:rPr>
          <w:rFonts w:cs="Times New Roman"/>
        </w:rPr>
        <w:t>2</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1/21/2010</w:t>
      </w:r>
      <w:r>
        <w:rPr>
          <w:rFonts w:cs="Times New Roman"/>
        </w:rPr>
        <w:tab/>
        <w:t>Senate</w:t>
      </w:r>
      <w:r>
        <w:rPr>
          <w:rFonts w:cs="Times New Roman"/>
        </w:rPr>
        <w:tab/>
      </w:r>
      <w:r w:rsidRPr="00921CF8">
        <w:rPr>
          <w:rFonts w:cs="Times New Roman"/>
        </w:rPr>
        <w:t xml:space="preserve">Recommitted to Committee on </w:t>
      </w:r>
      <w:r w:rsidRPr="00921CF8">
        <w:rPr>
          <w:rFonts w:cs="Times New Roman"/>
          <w:b/>
        </w:rPr>
        <w:t>Banking and Insurance</w:t>
      </w:r>
      <w:r w:rsidRPr="00921CF8">
        <w:rPr>
          <w:rFonts w:cs="Times New Roman"/>
        </w:rPr>
        <w:t xml:space="preserve"> </w:t>
      </w:r>
      <w:hyperlink r:id="rId21" w:history="1">
        <w:r w:rsidRPr="00E0207D">
          <w:rPr>
            <w:rStyle w:val="Hyperlink"/>
            <w:rFonts w:cs="Times New Roman"/>
          </w:rPr>
          <w:t>SJ</w:t>
        </w:r>
      </w:hyperlink>
      <w:r>
        <w:rPr>
          <w:rFonts w:cs="Times New Roman"/>
        </w:rPr>
        <w:noBreakHyphen/>
      </w:r>
      <w:r w:rsidRPr="00921CF8">
        <w:rPr>
          <w:rFonts w:cs="Times New Roman"/>
        </w:rPr>
        <w:t>2</w:t>
      </w:r>
    </w:p>
    <w:p w:rsidR="00CC00DF" w:rsidRDefault="00CC00DF" w:rsidP="00CC00DF">
      <w:pPr>
        <w:widowControl w:val="0"/>
        <w:tabs>
          <w:tab w:val="right" w:pos="1008"/>
          <w:tab w:val="left" w:pos="1152"/>
          <w:tab w:val="left" w:pos="1872"/>
          <w:tab w:val="left" w:pos="9187"/>
        </w:tabs>
        <w:ind w:left="2088" w:hanging="2088"/>
        <w:jc w:val="left"/>
        <w:rPr>
          <w:rFonts w:cs="Times New Roman"/>
        </w:rPr>
      </w:pPr>
      <w:r>
        <w:rPr>
          <w:rFonts w:cs="Times New Roman"/>
        </w:rPr>
        <w:tab/>
        <w:t>6/1/2010</w:t>
      </w:r>
      <w:r>
        <w:rPr>
          <w:rFonts w:cs="Times New Roman"/>
        </w:rPr>
        <w:tab/>
        <w:t>Senate</w:t>
      </w:r>
      <w:r>
        <w:rPr>
          <w:rFonts w:cs="Times New Roman"/>
        </w:rPr>
        <w:tab/>
      </w:r>
      <w:r w:rsidRPr="00921CF8">
        <w:rPr>
          <w:rFonts w:cs="Times New Roman"/>
        </w:rPr>
        <w:t>Committee r</w:t>
      </w:r>
      <w:r>
        <w:rPr>
          <w:rFonts w:cs="Times New Roman"/>
        </w:rPr>
        <w:t xml:space="preserve">eport: Favorable with amendment </w:t>
      </w:r>
      <w:r w:rsidRPr="00921CF8">
        <w:rPr>
          <w:rFonts w:cs="Times New Roman"/>
          <w:b/>
        </w:rPr>
        <w:t>Banking and Insurance</w:t>
      </w:r>
      <w:r w:rsidRPr="00921CF8">
        <w:rPr>
          <w:rFonts w:cs="Times New Roman"/>
        </w:rPr>
        <w:t xml:space="preserve"> </w:t>
      </w:r>
      <w:hyperlink r:id="rId22" w:history="1">
        <w:r w:rsidRPr="00E0207D">
          <w:rPr>
            <w:rStyle w:val="Hyperlink"/>
            <w:rFonts w:cs="Times New Roman"/>
          </w:rPr>
          <w:t>SJ</w:t>
        </w:r>
      </w:hyperlink>
      <w:r>
        <w:rPr>
          <w:rFonts w:cs="Times New Roman"/>
        </w:rPr>
        <w:noBreakHyphen/>
      </w:r>
      <w:r w:rsidRPr="00921CF8">
        <w:rPr>
          <w:rFonts w:cs="Times New Roman"/>
        </w:rPr>
        <w:t>28</w:t>
      </w:r>
    </w:p>
    <w:p w:rsidR="00CC00DF" w:rsidRDefault="00CC00DF" w:rsidP="00CC00DF">
      <w:pPr>
        <w:widowControl w:val="0"/>
        <w:tabs>
          <w:tab w:val="right" w:pos="1008"/>
          <w:tab w:val="left" w:pos="1152"/>
          <w:tab w:val="left" w:pos="1872"/>
          <w:tab w:val="left" w:pos="9187"/>
        </w:tabs>
        <w:ind w:left="2088" w:hanging="2088"/>
        <w:jc w:val="left"/>
        <w:rPr>
          <w:rFonts w:cs="Times New Roman"/>
        </w:rPr>
      </w:pPr>
    </w:p>
    <w:p w:rsidR="00B37378" w:rsidRDefault="00B37378">
      <w:pPr>
        <w:widowControl w:val="0"/>
        <w:tabs>
          <w:tab w:val="right" w:pos="1008"/>
          <w:tab w:val="left" w:pos="1152"/>
          <w:tab w:val="left" w:pos="1872"/>
          <w:tab w:val="left" w:pos="9187"/>
        </w:tabs>
        <w:ind w:left="2088" w:hanging="2088"/>
        <w:jc w:val="left"/>
        <w:rPr>
          <w:rFonts w:cs="Times New Roman"/>
        </w:rPr>
      </w:pPr>
    </w:p>
    <w:p w:rsidR="00B37378" w:rsidRDefault="0086669A">
      <w:pPr>
        <w:widowControl w:val="0"/>
        <w:jc w:val="left"/>
        <w:rPr>
          <w:rFonts w:cs="Times New Roman"/>
        </w:rPr>
      </w:pPr>
      <w:r>
        <w:rPr>
          <w:rFonts w:cs="Times New Roman"/>
          <w:b/>
        </w:rPr>
        <w:t>VERSIONS OF THIS BILL</w:t>
      </w:r>
    </w:p>
    <w:p w:rsidR="00B37378" w:rsidRDefault="00B37378">
      <w:pPr>
        <w:widowControl w:val="0"/>
        <w:jc w:val="left"/>
        <w:rPr>
          <w:rFonts w:cs="Times New Roman"/>
        </w:rPr>
      </w:pPr>
    </w:p>
    <w:p w:rsidR="00B37378" w:rsidRDefault="00365632">
      <w:pPr>
        <w:widowControl w:val="0"/>
        <w:jc w:val="left"/>
        <w:rPr>
          <w:rFonts w:cs="Times New Roman"/>
        </w:rPr>
      </w:pPr>
      <w:hyperlink r:id="rId23" w:history="1">
        <w:r w:rsidR="0086669A">
          <w:rPr>
            <w:rStyle w:val="Hyperlink"/>
            <w:rFonts w:cs="Times New Roman"/>
          </w:rPr>
          <w:t>12/17/2008</w:t>
        </w:r>
      </w:hyperlink>
    </w:p>
    <w:p w:rsidR="00B37378" w:rsidRDefault="00365632">
      <w:hyperlink r:id="rId24" w:history="1">
        <w:r w:rsidR="0086669A">
          <w:rPr>
            <w:rStyle w:val="Hyperlink"/>
          </w:rPr>
          <w:t>3/11/2009</w:t>
        </w:r>
      </w:hyperlink>
    </w:p>
    <w:p w:rsidR="00B37378" w:rsidRDefault="00365632">
      <w:hyperlink r:id="rId25" w:history="1">
        <w:r w:rsidR="0086669A">
          <w:rPr>
            <w:rStyle w:val="Hyperlink"/>
          </w:rPr>
          <w:t>3/12/2009</w:t>
        </w:r>
      </w:hyperlink>
    </w:p>
    <w:p w:rsidR="00B37378" w:rsidRDefault="00365632">
      <w:hyperlink r:id="rId26" w:history="1">
        <w:r w:rsidR="0086669A">
          <w:rPr>
            <w:rStyle w:val="Hyperlink"/>
          </w:rPr>
          <w:t>4/30/2009</w:t>
        </w:r>
      </w:hyperlink>
    </w:p>
    <w:p w:rsidR="0086669A" w:rsidRDefault="00365632">
      <w:hyperlink r:id="rId27" w:history="1">
        <w:r w:rsidR="0086669A" w:rsidRPr="0086669A">
          <w:rPr>
            <w:rStyle w:val="Hyperlink"/>
          </w:rPr>
          <w:t>5/14/2009</w:t>
        </w:r>
      </w:hyperlink>
    </w:p>
    <w:p w:rsidR="00B37378" w:rsidRDefault="00B37378"/>
    <w:p w:rsidR="00B37378" w:rsidRDefault="00B37378">
      <w:pPr>
        <w:sectPr w:rsidR="00B37378">
          <w:pgSz w:w="12240" w:h="15840" w:code="1"/>
          <w:pgMar w:top="1080" w:right="1440" w:bottom="1080" w:left="1440" w:header="720" w:footer="720" w:gutter="0"/>
          <w:cols w:space="720"/>
          <w:noEndnote/>
          <w:docGrid w:linePitch="360"/>
        </w:sectPr>
      </w:pPr>
    </w:p>
    <w:p w:rsidR="0086669A" w:rsidRDefault="0086669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86669A" w:rsidRPr="00E0089C" w:rsidRDefault="0086669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14, 2009</w:t>
      </w: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Pr="00F1127F" w:rsidRDefault="0086669A" w:rsidP="00F1127F">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202</w:t>
      </w: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5/14/09--H.</w:t>
      </w: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March 25, 2009.</w:t>
      </w:r>
    </w:p>
    <w:p w:rsidR="0086669A" w:rsidRPr="00F1127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86669A" w:rsidSect="00E0089C">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86669A" w:rsidRDefault="0086669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SO AS TO AMEND THE DEFINITION OF “ADMITTED ASSETS” TO INCLUDE THOSE ON THE INSURER’S MOST RECENT STATUTORY FINANCIAL STATEMENT FILED WITH THE DEPARTMENT OF INSURANCE PURSUANT TO THE PROVISIONS OF SECTION 38</w:t>
      </w:r>
      <w:r>
        <w:rPr>
          <w:rFonts w:eastAsia="Times New Roman" w:cs="Times New Roman"/>
          <w:szCs w:val="20"/>
        </w:rPr>
        <w:noBreakHyphen/>
        <w:t>13</w:t>
      </w:r>
      <w:r>
        <w:rPr>
          <w:rFonts w:eastAsia="Times New Roman" w:cs="Times New Roman"/>
          <w:szCs w:val="20"/>
        </w:rPr>
        <w:noBreakHyphen/>
        <w:t>80 INSTEAD OF THOSE ADMITTED UNDER THE PROVISIONS OF SECTION 38</w:t>
      </w:r>
      <w:r>
        <w:rPr>
          <w:rFonts w:eastAsia="Times New Roman" w:cs="Times New Roman"/>
          <w:szCs w:val="20"/>
        </w:rPr>
        <w:noBreakHyphen/>
        <w:t>11</w:t>
      </w:r>
      <w:r>
        <w:rPr>
          <w:rFonts w:eastAsia="Times New Roman" w:cs="Times New Roman"/>
          <w:szCs w:val="20"/>
        </w:rPr>
        <w:noBreakHyphen/>
        <w:t>100; TO AMEND SECTION 38</w:t>
      </w:r>
      <w:r>
        <w:rPr>
          <w:rFonts w:eastAsia="Times New Roman" w:cs="Times New Roman"/>
          <w:szCs w:val="20"/>
        </w:rPr>
        <w:noBreakHyphen/>
        <w:t>9</w:t>
      </w:r>
      <w:r>
        <w:rPr>
          <w:rFonts w:eastAsia="Times New Roman" w:cs="Times New Roman"/>
          <w:szCs w:val="20"/>
        </w:rPr>
        <w:noBreakHyphen/>
        <w:t>10, RELATING TO CAPITAL AND SURPLUS REQUIRED OF STOCK INSURERS, SO AS TO CHANGE THE MARKETABLE SECURITIES THAT MAY BE REQUIRED BY THE DIRECTOR OF INSURANCE; TO AMEND SECTION 38</w:t>
      </w:r>
      <w:r>
        <w:rPr>
          <w:rFonts w:eastAsia="Times New Roman" w:cs="Times New Roman"/>
          <w:szCs w:val="20"/>
        </w:rPr>
        <w:noBreakHyphen/>
        <w:t>9</w:t>
      </w:r>
      <w:r>
        <w:rPr>
          <w:rFonts w:eastAsia="Times New Roman" w:cs="Times New Roman"/>
          <w:szCs w:val="20"/>
        </w:rPr>
        <w:noBreakHyphen/>
        <w:t>20, RELATING TO THE SURPLUS REQUIRED OF MUTUAL INSURERS, SO AS TO CHANGE THE MARKETABLE SECURITIES WHICH MAY BE REQUIRED BY THE DIRECTOR OF INSURANCE; TO AMEND SECTION 38</w:t>
      </w:r>
      <w:r>
        <w:rPr>
          <w:rFonts w:eastAsia="Times New Roman" w:cs="Times New Roman"/>
          <w:szCs w:val="20"/>
        </w:rPr>
        <w:noBreakHyphen/>
        <w:t>9</w:t>
      </w:r>
      <w:r>
        <w:rPr>
          <w:rFonts w:eastAsia="Times New Roman" w:cs="Times New Roman"/>
          <w:szCs w:val="20"/>
        </w:rPr>
        <w:noBreakHyphen/>
        <w:t>210, RELATING TO THE REDUCTION FROM LIABILITY FOR THE REINSURANCE CEDED BY A DOMESTIC INSURER, SO AS TO CHANGE THE SECURITIES LISTED THAT QUALIFY AS SECURITY; TO AMEND SECTION 38</w:t>
      </w:r>
      <w:r>
        <w:rPr>
          <w:rFonts w:eastAsia="Times New Roman" w:cs="Times New Roman"/>
          <w:szCs w:val="20"/>
        </w:rPr>
        <w:noBreakHyphen/>
        <w:t>10</w:t>
      </w:r>
      <w:r>
        <w:rPr>
          <w:rFonts w:eastAsia="Times New Roman" w:cs="Times New Roman"/>
          <w:szCs w:val="20"/>
        </w:rPr>
        <w:noBreakHyphen/>
        <w:t>40, RELATING TO THE PROTECTED CELL ASSETS OF A PROTECTED CELL, SO AS TO CHANGE A CODE REFERENCE; TO AMEND SECTION 38</w:t>
      </w:r>
      <w:r>
        <w:rPr>
          <w:rFonts w:eastAsia="Times New Roman" w:cs="Times New Roman"/>
          <w:szCs w:val="20"/>
        </w:rPr>
        <w:noBreakHyphen/>
        <w:t>33</w:t>
      </w:r>
      <w:r>
        <w:rPr>
          <w:rFonts w:eastAsia="Times New Roman" w:cs="Times New Roman"/>
          <w:szCs w:val="20"/>
        </w:rP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rPr>
          <w:rFonts w:eastAsia="Times New Roman" w:cs="Times New Roman"/>
          <w:szCs w:val="20"/>
        </w:rPr>
        <w:noBreakHyphen/>
        <w:t>55</w:t>
      </w:r>
      <w:r>
        <w:rPr>
          <w:rFonts w:eastAsia="Times New Roman" w:cs="Times New Roman"/>
          <w:szCs w:val="20"/>
        </w:rPr>
        <w:noBreakHyphen/>
        <w:t xml:space="preserve">80, RELATING TO LOANS TO DIRECTORS OR OFFICERS BY AN INSURER, SO AS TO CHANGE A CODE REFERENCE. </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1</w:t>
      </w:r>
      <w:r>
        <w:rPr>
          <w:rFonts w:eastAsia="Times New Roman" w:cs="Times New Roman"/>
          <w:szCs w:val="20"/>
        </w:rPr>
        <w:noBreakHyphen/>
        <w:t>20(4) of the 1976 Code is amended to read:</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“(4)</w:t>
      </w:r>
      <w:r>
        <w:rPr>
          <w:rFonts w:eastAsia="Times New Roman" w:cs="Times New Roman"/>
          <w:szCs w:val="20"/>
        </w:rPr>
        <w:tab/>
      </w:r>
      <w:r>
        <w:rPr>
          <w:rFonts w:eastAsia="Times New Roman" w:cs="Times New Roman"/>
          <w:szCs w:val="24"/>
        </w:rPr>
        <w:t xml:space="preserve">‘Admitted assets’ means assets of an insurer considered admitted </w:t>
      </w:r>
      <w:r>
        <w:rPr>
          <w:rFonts w:eastAsia="Times New Roman" w:cs="Times New Roman"/>
          <w:strike/>
          <w:szCs w:val="24"/>
        </w:rPr>
        <w:t>under Section 38</w:t>
      </w:r>
      <w:r>
        <w:rPr>
          <w:rFonts w:eastAsia="Times New Roman" w:cs="Times New Roman"/>
          <w:strike/>
          <w:szCs w:val="24"/>
        </w:rPr>
        <w:noBreakHyphen/>
        <w:t>11</w:t>
      </w:r>
      <w:r>
        <w:rPr>
          <w:rFonts w:eastAsia="Times New Roman" w:cs="Times New Roman"/>
          <w:strike/>
          <w:szCs w:val="24"/>
        </w:rPr>
        <w:noBreakHyphen/>
        <w:t>100</w:t>
      </w:r>
      <w:r>
        <w:rPr>
          <w:rFonts w:eastAsia="Times New Roman" w:cs="Times New Roman"/>
          <w:szCs w:val="24"/>
        </w:rPr>
        <w:t xml:space="preserve"> </w:t>
      </w:r>
      <w:r>
        <w:rPr>
          <w:rFonts w:eastAsia="Times New Roman" w:cs="Times New Roman"/>
          <w:szCs w:val="24"/>
          <w:u w:val="single"/>
        </w:rPr>
        <w:t>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w:t>
      </w:r>
      <w:r>
        <w:rPr>
          <w:rFonts w:eastAsia="Times New Roman" w:cs="Times New Roman"/>
          <w:szCs w:val="24"/>
        </w:rPr>
        <w:noBreakHyphen/>
        <w:t>10(A)(2) of the 1976 Code is amended to read:</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rFonts w:eastAsia="Times New Roman" w:cs="Times New Roman"/>
          <w:strike/>
          <w:szCs w:val="24"/>
        </w:rPr>
        <w:t>which are eligible investments under Section 38</w:t>
      </w:r>
      <w:r>
        <w:rPr>
          <w:rFonts w:eastAsia="Times New Roman" w:cs="Times New Roman"/>
          <w:strike/>
          <w:szCs w:val="24"/>
        </w:rPr>
        <w:noBreakHyphen/>
        <w:t>11</w:t>
      </w:r>
      <w:r>
        <w:rPr>
          <w:rFonts w:eastAsia="Times New Roman" w:cs="Times New Roman"/>
          <w:strike/>
          <w:szCs w:val="24"/>
        </w:rPr>
        <w:noBreakHyphen/>
        <w:t>40</w:t>
      </w:r>
      <w:r>
        <w:rPr>
          <w:rFonts w:eastAsia="Times New Roman" w:cs="Times New Roman"/>
          <w:szCs w:val="24"/>
        </w:rPr>
        <w:t xml:space="preserve"> </w:t>
      </w:r>
      <w:r>
        <w:rPr>
          <w:rFonts w:eastAsia="Times New Roman" w:cs="Times New Roman"/>
          <w:szCs w:val="24"/>
          <w:u w:val="single"/>
        </w:rPr>
        <w:t>that qualify as admitted assets 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20(A)(2) of the 1976 Code is amended to read:</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director or his designee may require additional initial surplus based on the type or nature of business transacted, and the initial surplus of the insurer must consist of cash or marketable securities </w:t>
      </w:r>
      <w:r>
        <w:rPr>
          <w:rFonts w:eastAsia="Times New Roman" w:cs="Times New Roman"/>
          <w:strike/>
          <w:szCs w:val="20"/>
        </w:rPr>
        <w:t>which are eligible investments under Section 38</w:t>
      </w:r>
      <w:r>
        <w:rPr>
          <w:rFonts w:eastAsia="Times New Roman" w:cs="Times New Roman"/>
          <w:strike/>
          <w:szCs w:val="20"/>
        </w:rPr>
        <w:noBreakHyphen/>
        <w:t>11</w:t>
      </w:r>
      <w:r>
        <w:rPr>
          <w:rFonts w:eastAsia="Times New Roman" w:cs="Times New Roman"/>
          <w:strike/>
          <w:szCs w:val="20"/>
        </w:rPr>
        <w:noBreakHyphen/>
        <w:t>40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210(2) of the 1976 Code is amended to read:</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securities listed by the Securities Valuation Office of the National Association of Insurance Commissioners </w:t>
      </w:r>
      <w:r>
        <w:rPr>
          <w:rFonts w:eastAsia="Times New Roman" w:cs="Times New Roman"/>
          <w:strike/>
          <w:szCs w:val="20"/>
        </w:rPr>
        <w:t>and qualifying as admitted assets under Section 38</w:t>
      </w:r>
      <w:r>
        <w:rPr>
          <w:rFonts w:eastAsia="Times New Roman" w:cs="Times New Roman"/>
          <w:strike/>
          <w:szCs w:val="20"/>
        </w:rPr>
        <w:noBreakHyphen/>
        <w:t>11</w:t>
      </w:r>
      <w:r>
        <w:rPr>
          <w:rFonts w:eastAsia="Times New Roman" w:cs="Times New Roman"/>
          <w:strike/>
          <w:szCs w:val="20"/>
        </w:rPr>
        <w:noBreakHyphen/>
        <w:t>100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38</w:t>
      </w:r>
      <w:r>
        <w:rPr>
          <w:rFonts w:eastAsia="Times New Roman" w:cs="Times New Roman"/>
          <w:szCs w:val="20"/>
        </w:rPr>
        <w:noBreakHyphen/>
        <w:t>10</w:t>
      </w:r>
      <w:r>
        <w:rPr>
          <w:rFonts w:eastAsia="Times New Roman" w:cs="Times New Roman"/>
          <w:szCs w:val="20"/>
        </w:rPr>
        <w:noBreakHyphen/>
        <w:t>40(B) of the 1976 Code is amended to read:</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income, gains and losses, realized or unrealized, from protected cell assets and protected cell liabilities must be credited to or charged against the protected cell without regard to other income, gains or losses of the protected cell company, including income, gains or losses of other protected cells. Amounts attributed to any protected cell and accumulations on the attributed amounts may be invested and reinvested without regard to any requirements or limitations of </w:t>
      </w:r>
      <w:r>
        <w:rPr>
          <w:rFonts w:eastAsia="Times New Roman" w:cs="Times New Roman"/>
          <w:strike/>
          <w:szCs w:val="20"/>
        </w:rPr>
        <w:t>Sections 38</w:t>
      </w:r>
      <w:r>
        <w:rPr>
          <w:rFonts w:eastAsia="Times New Roman" w:cs="Times New Roman"/>
          <w:strike/>
          <w:szCs w:val="20"/>
        </w:rPr>
        <w:noBreakHyphen/>
        <w:t>11</w:t>
      </w:r>
      <w:r>
        <w:rPr>
          <w:rFonts w:eastAsia="Times New Roman" w:cs="Times New Roman"/>
          <w:strike/>
          <w:szCs w:val="20"/>
        </w:rPr>
        <w:noBreakHyphen/>
        <w:t>40 and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xml:space="preserve"> and the investments in a protected cell or cells may not be taken into account in applying the investment limitations otherwise applicable to the investments of the protected cell company.”</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38</w:t>
      </w:r>
      <w:r>
        <w:rPr>
          <w:rFonts w:eastAsia="Times New Roman" w:cs="Times New Roman"/>
          <w:szCs w:val="20"/>
        </w:rPr>
        <w:noBreakHyphen/>
        <w:t>33</w:t>
      </w:r>
      <w:r>
        <w:rPr>
          <w:rFonts w:eastAsia="Times New Roman" w:cs="Times New Roman"/>
          <w:szCs w:val="20"/>
        </w:rPr>
        <w:noBreakHyphen/>
        <w:t>130(C) of the 1976 Code is amended to read:</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health maintenance organization shall procure and maintain a policy of individual excess stop</w:t>
      </w:r>
      <w:r>
        <w:rPr>
          <w:rFonts w:eastAsia="Times New Roman" w:cs="Times New Roman"/>
          <w:szCs w:val="20"/>
        </w:rPr>
        <w:noBreakHyphen/>
        <w:t xml:space="preserve">loss coverage provided by an insurance company licensed by the State.  The policy </w:t>
      </w:r>
      <w:r>
        <w:rPr>
          <w:rFonts w:eastAsia="Times New Roman" w:cs="Times New Roman"/>
          <w:strike/>
          <w:szCs w:val="20"/>
        </w:rPr>
        <w:t>must</w:t>
      </w:r>
      <w:r>
        <w:rPr>
          <w:rFonts w:eastAsia="Times New Roman" w:cs="Times New Roman"/>
          <w:szCs w:val="20"/>
        </w:rPr>
        <w:t xml:space="preserve"> also </w:t>
      </w:r>
      <w:r>
        <w:rPr>
          <w:rFonts w:eastAsia="Times New Roman" w:cs="Times New Roman"/>
          <w:szCs w:val="20"/>
          <w:u w:val="single"/>
        </w:rPr>
        <w:t>must</w:t>
      </w:r>
      <w:r>
        <w:rPr>
          <w:rFonts w:eastAsia="Times New Roman" w:cs="Times New Roman"/>
          <w:szCs w:val="20"/>
        </w:rPr>
        <w:t xml:space="preserve"> include provisions to cover all incurred, unpaid claim liability in the event of the health maintenance organization’s termination due to insolvency or otherwise.  In addition, the director or his designee may require that the policy provide that the insurer will issue an individual </w:t>
      </w:r>
      <w:r>
        <w:rPr>
          <w:rFonts w:eastAsia="Times New Roman" w:cs="Times New Roman"/>
          <w:strike/>
          <w:szCs w:val="20"/>
        </w:rPr>
        <w:t>conversion</w:t>
      </w:r>
      <w:r>
        <w:rPr>
          <w:rFonts w:eastAsia="Times New Roman" w:cs="Times New Roman"/>
          <w:szCs w:val="20"/>
        </w:rPr>
        <w:t xml:space="preserve"> policy to any enrollee upon termination of the health maintenance organization or the enrollee’s ineligibility for further coverage in the health maintenance organization.  </w:t>
      </w:r>
      <w:r>
        <w:rPr>
          <w:rFonts w:eastAsia="Times New Roman" w:cs="Times New Roman"/>
          <w:strike/>
          <w:szCs w:val="20"/>
        </w:rPr>
        <w:t>Any such conversion policy must meet at least the minimum requirements of Section 38</w:t>
      </w:r>
      <w:r>
        <w:rPr>
          <w:rFonts w:eastAsia="Times New Roman" w:cs="Times New Roman"/>
          <w:strike/>
          <w:szCs w:val="20"/>
        </w:rPr>
        <w:noBreakHyphen/>
        <w:t>71</w:t>
      </w:r>
      <w:r>
        <w:rPr>
          <w:rFonts w:eastAsia="Times New Roman" w:cs="Times New Roman"/>
          <w:strike/>
          <w:szCs w:val="20"/>
        </w:rPr>
        <w:noBreakHyphen/>
        <w:t>770.</w:t>
      </w:r>
      <w:r>
        <w:rPr>
          <w:rFonts w:eastAsia="Times New Roman" w:cs="Times New Roman"/>
          <w:szCs w:val="20"/>
        </w:rPr>
        <w:t>”</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55</w:t>
      </w:r>
      <w:r>
        <w:rPr>
          <w:rFonts w:eastAsia="Times New Roman" w:cs="Times New Roman"/>
          <w:szCs w:val="20"/>
        </w:rPr>
        <w:noBreakHyphen/>
        <w:t>80(B) of the 1976 Code is amended to read:</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an insurer in connection with the relocation of the place of employment of an officer, including any relocation in connection with the initial employment of the officer, from making, or the officer from accepting, a mortgage 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rFonts w:eastAsia="Times New Roman" w:cs="Times New Roman"/>
          <w:strike/>
          <w:szCs w:val="20"/>
        </w:rPr>
        <w:t>Section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In addition, this section does not prohibit an insurer from making a loan to its directors or officers if the loan is first approved in writing by the director or his designee.”</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F009F">
        <w:rPr>
          <w:rFonts w:eastAsia="Times New Roman" w:cs="Times New Roman"/>
          <w:szCs w:val="20"/>
        </w:rPr>
        <w:t>SECTION</w:t>
      </w:r>
      <w:r w:rsidRPr="00AF009F">
        <w:rPr>
          <w:rFonts w:eastAsia="Times New Roman" w:cs="Times New Roman"/>
          <w:szCs w:val="20"/>
        </w:rPr>
        <w:tab/>
      </w:r>
      <w:r>
        <w:rPr>
          <w:rFonts w:eastAsia="Times New Roman" w:cs="Times New Roman"/>
          <w:szCs w:val="20"/>
        </w:rPr>
        <w:t>8</w:t>
      </w:r>
      <w:r w:rsidRPr="00AF009F">
        <w:rPr>
          <w:rFonts w:eastAsia="Times New Roman" w:cs="Times New Roman"/>
          <w:szCs w:val="20"/>
        </w:rPr>
        <w:t>.</w:t>
      </w:r>
      <w:r w:rsidRPr="00AF009F">
        <w:rPr>
          <w:rFonts w:eastAsia="Times New Roman" w:cs="Times New Roman"/>
          <w:szCs w:val="20"/>
        </w:rPr>
        <w:tab/>
        <w:t>Section 38</w:t>
      </w:r>
      <w:r w:rsidRPr="00AF009F">
        <w:rPr>
          <w:rFonts w:eastAsia="Times New Roman" w:cs="Times New Roman"/>
          <w:szCs w:val="20"/>
        </w:rPr>
        <w:noBreakHyphen/>
        <w:t>73</w:t>
      </w:r>
      <w:r w:rsidRPr="00AF009F">
        <w:rPr>
          <w:rFonts w:eastAsia="Times New Roman" w:cs="Times New Roman"/>
          <w:szCs w:val="20"/>
        </w:rPr>
        <w:noBreakHyphen/>
        <w:t>737 of the 1976 Code is amended to read:</w:t>
      </w:r>
    </w:p>
    <w:p w:rsidR="0086669A"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0"/>
        </w:rPr>
        <w:tab/>
        <w:t>“Section 38</w:t>
      </w:r>
      <w:r w:rsidRPr="00AF009F">
        <w:rPr>
          <w:rFonts w:eastAsia="Times New Roman" w:cs="Times New Roman"/>
          <w:szCs w:val="20"/>
        </w:rPr>
        <w:noBreakHyphen/>
        <w:t>73</w:t>
      </w:r>
      <w:r w:rsidRPr="00AF009F">
        <w:rPr>
          <w:rFonts w:eastAsia="Times New Roman" w:cs="Times New Roman"/>
          <w:szCs w:val="20"/>
        </w:rPr>
        <w:noBreakHyphen/>
        <w:t>737.</w:t>
      </w:r>
      <w:r w:rsidRPr="00AF009F">
        <w:rPr>
          <w:rFonts w:eastAsia="Times New Roman" w:cs="Times New Roman"/>
          <w:szCs w:val="20"/>
        </w:rPr>
        <w:tab/>
      </w:r>
      <w:r w:rsidRPr="00AF009F">
        <w:rPr>
          <w:rFonts w:eastAsia="Times New Roman" w:cs="Times New Roman"/>
          <w:szCs w:val="24"/>
        </w:rPr>
        <w:t>(A)</w:t>
      </w:r>
      <w:r w:rsidRPr="00AF009F">
        <w:rPr>
          <w:rFonts w:eastAsia="Times New Roman" w:cs="Times New Roman"/>
          <w:szCs w:val="24"/>
        </w:rPr>
        <w:tab/>
        <w:t>Premium rates charged for liability coverages and collision coverage under a private passenger automobile insurance policy are subject to an appropriate driver training course credit once satisfactory evidence is presented that an applicant for the credit</w:t>
      </w:r>
      <w:r w:rsidRPr="00AF009F">
        <w:rPr>
          <w:rFonts w:eastAsia="Times New Roman" w:cs="Times New Roman"/>
          <w:strike/>
          <w:szCs w:val="24"/>
        </w:rPr>
        <w:t>, who is not subject to the youthful operator approved driver training course credit mandated by Regulation 69</w:t>
      </w:r>
      <w:r w:rsidRPr="00AF009F">
        <w:rPr>
          <w:rFonts w:eastAsia="Times New Roman" w:cs="Times New Roman"/>
          <w:strike/>
          <w:szCs w:val="24"/>
        </w:rPr>
        <w:noBreakHyphen/>
        <w:t>13.2(C),</w:t>
      </w:r>
      <w:r w:rsidRPr="00AF009F">
        <w:rPr>
          <w:rFonts w:eastAsia="Times New Roman" w:cs="Times New Roman"/>
          <w:szCs w:val="24"/>
        </w:rPr>
        <w:t xml:space="preserve">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Pr="00AF009F">
        <w:rPr>
          <w:rFonts w:eastAsia="Times New Roman" w:cs="Times New Roman"/>
          <w:szCs w:val="24"/>
        </w:rPr>
        <w:noBreakHyphen/>
        <w:t>six months from the date the approved driver training course was completed.  The insurer may require as a condition of providing and maintaining the credit, that the insured for a three</w:t>
      </w:r>
      <w:r w:rsidRPr="00AF009F">
        <w:rPr>
          <w:rFonts w:eastAsia="Times New Roman" w:cs="Times New Roman"/>
          <w:szCs w:val="24"/>
        </w:rPr>
        <w:noBreakHyphen/>
        <w:t>year period after course completion not be involved in an accident for which the insured is at fault.  The credit must be afforded by each insurer in a nondiscriminatory manner to all applicants</w:t>
      </w:r>
      <w:r w:rsidRPr="00AF009F">
        <w:rPr>
          <w:rFonts w:eastAsia="Times New Roman" w:cs="Times New Roman"/>
          <w:strike/>
          <w:szCs w:val="24"/>
        </w:rPr>
        <w:t>, other than those considered within Regulation 69</w:t>
      </w:r>
      <w:r w:rsidRPr="00AF009F">
        <w:rPr>
          <w:rFonts w:eastAsia="Times New Roman" w:cs="Times New Roman"/>
          <w:strike/>
          <w:szCs w:val="24"/>
        </w:rPr>
        <w:noBreakHyphen/>
        <w:t>13.2(C)</w:t>
      </w:r>
      <w:r w:rsidRPr="00AF009F">
        <w:rPr>
          <w:rFonts w:eastAsia="Times New Roman" w:cs="Times New Roman"/>
          <w:szCs w:val="24"/>
        </w:rPr>
        <w:t xml:space="preserve">.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sidRPr="00AF009F">
        <w:rPr>
          <w:rFonts w:eastAsia="Times New Roman" w:cs="Times New Roman"/>
          <w:szCs w:val="24"/>
        </w:rPr>
        <w:t xml:space="preserve">‘An approved driver training course’ for purposes of this section is a driver training course which has been approved by the Department of Motor Vehicles and was conducted by: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t xml:space="preserve">a recognized college or university;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instructors certified by the Department of Motor Vehicles;  or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 xml:space="preserve">any other school approved and supervised by the Department of Motor Vehicles.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(C)</w:t>
      </w:r>
      <w:r w:rsidRPr="00AF009F">
        <w:rPr>
          <w:rFonts w:eastAsia="Times New Roman" w:cs="Times New Roman"/>
          <w:szCs w:val="24"/>
        </w:rPr>
        <w:tab/>
        <w:t xml:space="preserve">The requirements of the course, in order to qualify for the insurance credit, must include the following minimum criteria: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r>
      <w:r w:rsidRPr="00AF009F">
        <w:rPr>
          <w:rFonts w:eastAsia="Times New Roman" w:cs="Times New Roman"/>
          <w:strike/>
          <w:szCs w:val="24"/>
        </w:rPr>
        <w:t>eight</w:t>
      </w:r>
      <w:r w:rsidRPr="00AF009F">
        <w:rPr>
          <w:rFonts w:eastAsia="Times New Roman" w:cs="Times New Roman"/>
          <w:szCs w:val="24"/>
        </w:rPr>
        <w:t xml:space="preserve"> </w:t>
      </w:r>
      <w:r w:rsidRPr="00AF009F">
        <w:rPr>
          <w:rFonts w:eastAsia="Times New Roman" w:cs="Times New Roman"/>
          <w:szCs w:val="24"/>
          <w:u w:val="single"/>
        </w:rPr>
        <w:t>six</w:t>
      </w:r>
      <w:r w:rsidRPr="00AF009F">
        <w:rPr>
          <w:rFonts w:eastAsia="Times New Roman" w:cs="Times New Roman"/>
          <w:szCs w:val="24"/>
        </w:rPr>
        <w:t xml:space="preserve"> hours of classroom instruction;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the teaching method must include group discussion, lecture, and visual presentations;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the course materials must include age</w:t>
      </w:r>
      <w:r w:rsidRPr="00AF009F">
        <w:rPr>
          <w:rFonts w:eastAsia="Times New Roman" w:cs="Times New Roman"/>
          <w:szCs w:val="24"/>
        </w:rPr>
        <w:noBreakHyphen/>
        <w:t>related physical changes affecting older drivers, accident prevention measures, and a basic review of the rules</w:t>
      </w:r>
      <w:r w:rsidRPr="00AF009F">
        <w:rPr>
          <w:rFonts w:eastAsia="Times New Roman" w:cs="Times New Roman"/>
          <w:szCs w:val="24"/>
        </w:rPr>
        <w:noBreakHyphen/>
        <w:t>of</w:t>
      </w:r>
      <w:r w:rsidRPr="00AF009F">
        <w:rPr>
          <w:rFonts w:eastAsia="Times New Roman" w:cs="Times New Roman"/>
          <w:szCs w:val="24"/>
        </w:rPr>
        <w:noBreakHyphen/>
        <w:t>the</w:t>
      </w:r>
      <w:r w:rsidRPr="00AF009F">
        <w:rPr>
          <w:rFonts w:eastAsia="Times New Roman" w:cs="Times New Roman"/>
          <w:szCs w:val="24"/>
        </w:rPr>
        <w:noBreakHyphen/>
        <w:t xml:space="preserve">road including, but not limited to, rights of way, backing, entering, and leaving interstate highways;  and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(4)</w:t>
      </w:r>
      <w:r w:rsidRPr="00AF009F">
        <w:rPr>
          <w:rFonts w:eastAsia="Times New Roman" w:cs="Times New Roman"/>
          <w:szCs w:val="24"/>
        </w:rPr>
        <w:tab/>
        <w:t xml:space="preserve">a relevant test on the course material.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(D)</w:t>
      </w:r>
      <w:r w:rsidRPr="00AF009F">
        <w:rPr>
          <w:rFonts w:eastAsia="Times New Roman" w:cs="Times New Roman"/>
          <w:szCs w:val="24"/>
        </w:rPr>
        <w:tab/>
        <w:t xml:space="preserve">For purposes of this section ‘satisfactory evidence’ is a certificate signed by an official of the school or the Department of Motor Vehicles, which certifies that: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t xml:space="preserve">the person achieved a passing grade on a relevant test on the course material;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the course was approved by and the instructors were certified by the Department of Motor Vehicles;  and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 xml:space="preserve">the school was approved and supervised by the Department of Motor Vehicles.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(E)</w:t>
      </w:r>
      <w:r w:rsidRPr="00AF009F">
        <w:rPr>
          <w:rFonts w:eastAsia="Times New Roman" w:cs="Times New Roman"/>
          <w:szCs w:val="24"/>
        </w:rPr>
        <w:tab/>
        <w:t>Only the vehicle driven by drivers who have completed successfully the driver training course qualifies for the insurance credit.  In order for the credit to apply, the certificate must be furnished by the named insured</w:t>
      </w:r>
      <w:r w:rsidRPr="00AF009F">
        <w:rPr>
          <w:rFonts w:eastAsia="Times New Roman" w:cs="Times New Roman"/>
          <w:strike/>
          <w:szCs w:val="24"/>
        </w:rPr>
        <w:t>,</w:t>
      </w:r>
      <w:r w:rsidRPr="00AF009F">
        <w:rPr>
          <w:rFonts w:eastAsia="Times New Roman" w:cs="Times New Roman"/>
          <w:szCs w:val="24"/>
        </w:rPr>
        <w:t xml:space="preserve"> </w:t>
      </w:r>
      <w:r w:rsidRPr="00AF009F">
        <w:rPr>
          <w:rFonts w:eastAsia="Times New Roman" w:cs="Times New Roman"/>
          <w:szCs w:val="24"/>
          <w:u w:val="single"/>
        </w:rPr>
        <w:t>or</w:t>
      </w:r>
      <w:r w:rsidRPr="00AF009F">
        <w:rPr>
          <w:rFonts w:eastAsia="Times New Roman" w:cs="Times New Roman"/>
          <w:szCs w:val="24"/>
        </w:rPr>
        <w:t xml:space="preserve"> principal operator of the insured vehicle</w:t>
      </w:r>
      <w:r w:rsidRPr="00AF009F">
        <w:rPr>
          <w:rFonts w:eastAsia="Times New Roman" w:cs="Times New Roman"/>
          <w:strike/>
          <w:szCs w:val="24"/>
        </w:rPr>
        <w:t>, and all occasional operators named in the policy as provided in Department of Insurance Regulation 69</w:t>
      </w:r>
      <w:r w:rsidRPr="00AF009F">
        <w:rPr>
          <w:rFonts w:eastAsia="Times New Roman" w:cs="Times New Roman"/>
          <w:strike/>
          <w:szCs w:val="24"/>
        </w:rPr>
        <w:noBreakHyphen/>
        <w:t>13.1(II)(C)</w:t>
      </w:r>
      <w:r w:rsidRPr="00AF009F">
        <w:rPr>
          <w:rFonts w:eastAsia="Times New Roman" w:cs="Times New Roman"/>
          <w:szCs w:val="24"/>
        </w:rPr>
        <w:t xml:space="preserve">.  Other vehicles which may be operated by other family members who have not completed the driver training course do not qualify for the insurance credit unless the primary driver of the additional vehicle has successfully completed the driver training course. </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AF009F">
        <w:rPr>
          <w:rFonts w:eastAsia="Times New Roman" w:cs="Times New Roman"/>
          <w:szCs w:val="24"/>
        </w:rPr>
        <w:tab/>
        <w:t>(F)</w:t>
      </w:r>
      <w:r w:rsidRPr="00AF009F">
        <w:rPr>
          <w:rFonts w:eastAsia="Times New Roman" w:cs="Times New Roman"/>
          <w:szCs w:val="24"/>
          <w:u w:val="single"/>
        </w:rPr>
        <w:t>(1)</w:t>
      </w:r>
      <w:r w:rsidRPr="00AF009F">
        <w:rPr>
          <w:rFonts w:eastAsia="Times New Roman" w:cs="Times New Roman"/>
          <w:szCs w:val="24"/>
        </w:rPr>
        <w:tab/>
      </w:r>
      <w:r w:rsidRPr="00AF009F">
        <w:rPr>
          <w:rFonts w:eastAsia="Times New Roman" w:cs="Times New Roman"/>
          <w:szCs w:val="24"/>
          <w:u w:val="single"/>
        </w:rPr>
        <w:t>An applicant meeting the requirements of this section and receiving a driver training course credit may renew the insurance credit by completing a four hour driver training refresher course that has been approved by the Department of Motor Vehicles and furnishing satisfactorily evidence to the insurer within sixty days from the termination of the preceding thirty</w:t>
      </w:r>
      <w:r w:rsidRPr="00AF009F">
        <w:rPr>
          <w:rFonts w:eastAsia="Times New Roman" w:cs="Times New Roman"/>
          <w:szCs w:val="24"/>
          <w:u w:val="single"/>
        </w:rPr>
        <w:noBreakHyphen/>
        <w:t>six months effective period.</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AF009F">
        <w:rPr>
          <w:rFonts w:eastAsia="Times New Roman" w:cs="Times New Roman"/>
          <w:szCs w:val="24"/>
        </w:rPr>
        <w:tab/>
      </w:r>
      <w:r w:rsidRPr="00AF009F">
        <w:rPr>
          <w:rFonts w:eastAsia="Times New Roman" w:cs="Times New Roman"/>
          <w:szCs w:val="24"/>
        </w:rPr>
        <w:tab/>
      </w:r>
      <w:r w:rsidRPr="00AF009F">
        <w:rPr>
          <w:rFonts w:eastAsia="Times New Roman" w:cs="Times New Roman"/>
          <w:szCs w:val="24"/>
          <w:u w:val="single"/>
        </w:rPr>
        <w:t>(2)</w:t>
      </w:r>
      <w:r w:rsidRPr="00AF009F">
        <w:rPr>
          <w:rFonts w:eastAsia="Times New Roman" w:cs="Times New Roman"/>
          <w:szCs w:val="24"/>
        </w:rPr>
        <w:tab/>
      </w:r>
      <w:r w:rsidRPr="00AF009F">
        <w:rPr>
          <w:rFonts w:eastAsia="Times New Roman" w:cs="Times New Roman"/>
          <w:szCs w:val="24"/>
          <w:u w:val="single"/>
        </w:rPr>
        <w:t>An applicant that fails to renew the insurance credit as provided for in item (1) of this subsection shall complete successfully an approved driver training course as provided for in subsection (C) in order to qualify for the insurance credit.</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u w:val="single"/>
        </w:rPr>
        <w:t>(G)</w:t>
      </w:r>
      <w:r w:rsidRPr="00AF009F">
        <w:rPr>
          <w:rFonts w:eastAsia="Times New Roman" w:cs="Times New Roman"/>
          <w:szCs w:val="24"/>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driver’s license, do not qualify for the insurance credit provided in this section.”</w:t>
      </w:r>
    </w:p>
    <w:p w:rsidR="0086669A" w:rsidRPr="00AF009F"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sidRPr="00AF009F">
        <w:rPr>
          <w:rFonts w:eastAsia="Times New Roman" w:cs="Times New Roman"/>
          <w:szCs w:val="20"/>
        </w:rPr>
        <w:t>.</w:t>
      </w:r>
      <w:r w:rsidRPr="00AF009F">
        <w:rPr>
          <w:rFonts w:eastAsia="Times New Roman" w:cs="Times New Roman"/>
          <w:szCs w:val="20"/>
        </w:rPr>
        <w:tab/>
        <w:t>Section 38</w:t>
      </w:r>
      <w:r w:rsidRPr="00AF009F">
        <w:rPr>
          <w:rFonts w:eastAsia="Times New Roman" w:cs="Times New Roman"/>
          <w:szCs w:val="20"/>
        </w:rPr>
        <w:noBreakHyphen/>
        <w:t>77</w:t>
      </w:r>
      <w:r w:rsidRPr="00AF009F">
        <w:rPr>
          <w:rFonts w:eastAsia="Times New Roman" w:cs="Times New Roman"/>
          <w:szCs w:val="20"/>
        </w:rPr>
        <w:noBreakHyphen/>
        <w:t>112 of the 1976 Code is amended to read:</w:t>
      </w:r>
    </w:p>
    <w:p w:rsidR="0086669A"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AF009F">
        <w:rPr>
          <w:rFonts w:eastAsia="Times New Roman" w:cs="Times New Roman"/>
          <w:szCs w:val="20"/>
        </w:rPr>
        <w:tab/>
        <w:t>“Section 38</w:t>
      </w:r>
      <w:r w:rsidRPr="00AF009F">
        <w:rPr>
          <w:rFonts w:eastAsia="Times New Roman" w:cs="Times New Roman"/>
          <w:szCs w:val="20"/>
        </w:rPr>
        <w:noBreakHyphen/>
        <w:t>77</w:t>
      </w:r>
      <w:r w:rsidRPr="00AF009F">
        <w:rPr>
          <w:rFonts w:eastAsia="Times New Roman" w:cs="Times New Roman"/>
          <w:szCs w:val="20"/>
        </w:rPr>
        <w:noBreakHyphen/>
        <w:t>112.</w:t>
      </w:r>
      <w:r w:rsidRPr="00AF009F">
        <w:rPr>
          <w:rFonts w:eastAsia="Times New Roman" w:cs="Times New Roman"/>
          <w:szCs w:val="20"/>
        </w:rPr>
        <w:tab/>
      </w:r>
      <w:r w:rsidRPr="00AF009F">
        <w:rPr>
          <w:rFonts w:eastAsia="Times New Roman" w:cs="Times New Roman"/>
          <w:szCs w:val="24"/>
        </w:rPr>
        <w:t>Notwithstanding Section 38</w:t>
      </w:r>
      <w:r w:rsidRPr="00AF009F">
        <w:rPr>
          <w:rFonts w:eastAsia="Times New Roman" w:cs="Times New Roman"/>
          <w:szCs w:val="24"/>
        </w:rPr>
        <w:noBreakHyphen/>
        <w:t>77</w:t>
      </w:r>
      <w:r w:rsidRPr="00AF009F">
        <w:rPr>
          <w:rFonts w:eastAsia="Times New Roman" w:cs="Times New Roman"/>
          <w:szCs w:val="24"/>
        </w:rPr>
        <w:noBreakHyphen/>
        <w:t xml:space="preserve">280, </w:t>
      </w:r>
      <w:r w:rsidRPr="00AF009F">
        <w:rPr>
          <w:rFonts w:eastAsia="Times New Roman" w:cs="Times New Roman"/>
          <w:strike/>
          <w:szCs w:val="24"/>
        </w:rPr>
        <w:t>no</w:t>
      </w:r>
      <w:r w:rsidRPr="00AF009F">
        <w:rPr>
          <w:rFonts w:eastAsia="Times New Roman" w:cs="Times New Roman"/>
          <w:szCs w:val="24"/>
        </w:rPr>
        <w:t xml:space="preserve"> </w:t>
      </w:r>
      <w:r w:rsidRPr="00AF009F">
        <w:rPr>
          <w:rFonts w:eastAsia="Times New Roman" w:cs="Times New Roman"/>
          <w:szCs w:val="24"/>
          <w:u w:val="single"/>
        </w:rPr>
        <w:t>an</w:t>
      </w:r>
      <w:r w:rsidRPr="00AF009F">
        <w:rPr>
          <w:rFonts w:eastAsia="Times New Roman" w:cs="Times New Roman"/>
          <w:szCs w:val="24"/>
        </w:rPr>
        <w:t xml:space="preserve"> automobile insurer is </w:t>
      </w:r>
      <w:r w:rsidRPr="00AF009F">
        <w:rPr>
          <w:rFonts w:eastAsia="Times New Roman" w:cs="Times New Roman"/>
          <w:szCs w:val="24"/>
          <w:u w:val="single"/>
        </w:rPr>
        <w:t>not</w:t>
      </w:r>
      <w:r w:rsidRPr="00AF009F">
        <w:rPr>
          <w:rFonts w:eastAsia="Times New Roman" w:cs="Times New Roman"/>
          <w:szCs w:val="24"/>
        </w:rPr>
        <w:t xml:space="preserve"> required to write coverage for automobile insurance as defined in Section 38</w:t>
      </w:r>
      <w:r w:rsidRPr="00AF009F">
        <w:rPr>
          <w:rFonts w:eastAsia="Times New Roman" w:cs="Times New Roman"/>
          <w:szCs w:val="24"/>
        </w:rPr>
        <w:noBreakHyphen/>
        <w:t>77</w:t>
      </w:r>
      <w:r w:rsidRPr="00AF009F">
        <w:rPr>
          <w:rFonts w:eastAsia="Times New Roman" w:cs="Times New Roman"/>
          <w:szCs w:val="24"/>
        </w:rPr>
        <w:noBreakHyphen/>
        <w:t xml:space="preserve">30 for </w:t>
      </w:r>
      <w:r w:rsidRPr="00AF009F">
        <w:rPr>
          <w:rFonts w:eastAsia="Times New Roman" w:cs="Times New Roman"/>
          <w:strike/>
          <w:szCs w:val="24"/>
        </w:rPr>
        <w:t>any</w:t>
      </w:r>
      <w:r w:rsidRPr="00AF009F">
        <w:rPr>
          <w:rFonts w:eastAsia="Times New Roman" w:cs="Times New Roman"/>
          <w:szCs w:val="24"/>
        </w:rPr>
        <w:t xml:space="preserve"> </w:t>
      </w:r>
      <w:r w:rsidRPr="00AF009F">
        <w:rPr>
          <w:rFonts w:eastAsia="Times New Roman" w:cs="Times New Roman"/>
          <w:szCs w:val="24"/>
          <w:u w:val="single"/>
        </w:rPr>
        <w:t>an</w:t>
      </w:r>
      <w:r w:rsidRPr="00AF009F">
        <w:rPr>
          <w:rFonts w:eastAsia="Times New Roman" w:cs="Times New Roman"/>
          <w:szCs w:val="24"/>
        </w:rPr>
        <w:t xml:space="preserve"> applicant or existing policyholder.  An insurer or an agent shall retain, for a period of three years, the driver’s license numbers for all persons who have submitted an application for insurance but who were refused coverage and shall furnish </w:t>
      </w:r>
      <w:r w:rsidRPr="00AF009F">
        <w:rPr>
          <w:rFonts w:eastAsia="Times New Roman" w:cs="Times New Roman"/>
          <w:strike/>
          <w:szCs w:val="24"/>
        </w:rPr>
        <w:t>such</w:t>
      </w:r>
      <w:r w:rsidRPr="00AF009F">
        <w:rPr>
          <w:rFonts w:eastAsia="Times New Roman" w:cs="Times New Roman"/>
          <w:szCs w:val="24"/>
        </w:rPr>
        <w:t xml:space="preserve"> </w:t>
      </w:r>
      <w:r w:rsidRPr="00AF009F">
        <w:rPr>
          <w:rFonts w:eastAsia="Times New Roman" w:cs="Times New Roman"/>
          <w:szCs w:val="24"/>
          <w:u w:val="single"/>
        </w:rPr>
        <w:t>this</w:t>
      </w:r>
      <w:r w:rsidRPr="00AF009F">
        <w:rPr>
          <w:rFonts w:eastAsia="Times New Roman" w:cs="Times New Roman"/>
          <w:szCs w:val="24"/>
        </w:rPr>
        <w:t xml:space="preserve"> information upon the request of the director of the Department of Insurance or his designee.  This section does not apply to an individual who is handicapped and who owns a vehicle in this State but who does not have a valid driver’s license.  If an automobile is principally garaged and operated in this State, the owner of the vehicle can be offered coverage </w:t>
      </w:r>
      <w:r w:rsidRPr="00AF009F">
        <w:rPr>
          <w:rFonts w:eastAsia="Times New Roman" w:cs="Times New Roman"/>
          <w:strike/>
          <w:szCs w:val="24"/>
        </w:rPr>
        <w:t>thereon</w:t>
      </w:r>
      <w:r w:rsidRPr="00AF009F">
        <w:rPr>
          <w:rFonts w:eastAsia="Times New Roman" w:cs="Times New Roman"/>
          <w:szCs w:val="24"/>
        </w:rPr>
        <w:t xml:space="preserve"> </w:t>
      </w:r>
      <w:r w:rsidRPr="00AF009F">
        <w:rPr>
          <w:rFonts w:eastAsia="Times New Roman" w:cs="Times New Roman"/>
          <w:szCs w:val="24"/>
          <w:u w:val="single"/>
        </w:rPr>
        <w:t>on it</w:t>
      </w:r>
      <w:r w:rsidRPr="00AF009F">
        <w:rPr>
          <w:rFonts w:eastAsia="Times New Roman" w:cs="Times New Roman"/>
          <w:szCs w:val="24"/>
        </w:rPr>
        <w:t xml:space="preserve"> regardless of whether or not he possesses a valid South Carolina 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w:t>
      </w:r>
      <w:r w:rsidRPr="00AF009F">
        <w:rPr>
          <w:rFonts w:eastAsia="Times New Roman" w:cs="Times New Roman"/>
          <w:szCs w:val="24"/>
          <w:u w:val="single"/>
        </w:rPr>
        <w:t>or to an individual exempt from licensing requirements by Section 56</w:t>
      </w:r>
      <w:r w:rsidRPr="00AF009F">
        <w:rPr>
          <w:rFonts w:eastAsia="Times New Roman" w:cs="Times New Roman"/>
          <w:szCs w:val="24"/>
          <w:u w:val="single"/>
        </w:rPr>
        <w:noBreakHyphen/>
        <w:t>1</w:t>
      </w:r>
      <w:r w:rsidRPr="00AF009F">
        <w:rPr>
          <w:rFonts w:eastAsia="Times New Roman" w:cs="Times New Roman"/>
          <w:szCs w:val="24"/>
          <w:u w:val="single"/>
        </w:rPr>
        <w:noBreakHyphen/>
        <w:t>30</w:t>
      </w:r>
      <w:r w:rsidRPr="00AF009F">
        <w:rPr>
          <w:rFonts w:eastAsia="Times New Roman" w:cs="Times New Roman"/>
          <w:szCs w:val="24"/>
        </w:rPr>
        <w:t>.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Pr="00AA2E6E"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A2E6E">
        <w:rPr>
          <w:rFonts w:eastAsia="Times New Roman" w:cs="Times New Roman"/>
          <w:szCs w:val="20"/>
        </w:rPr>
        <w:t>SECTION</w:t>
      </w:r>
      <w:r w:rsidRPr="00AA2E6E">
        <w:rPr>
          <w:rFonts w:eastAsia="Times New Roman" w:cs="Times New Roman"/>
          <w:szCs w:val="20"/>
        </w:rPr>
        <w:tab/>
      </w:r>
      <w:r>
        <w:rPr>
          <w:rFonts w:eastAsia="Times New Roman" w:cs="Times New Roman"/>
          <w:szCs w:val="20"/>
        </w:rPr>
        <w:t>10</w:t>
      </w:r>
      <w:r w:rsidRPr="00AA2E6E">
        <w:rPr>
          <w:rFonts w:eastAsia="Times New Roman" w:cs="Times New Roman"/>
          <w:szCs w:val="20"/>
        </w:rPr>
        <w:t>.</w:t>
      </w:r>
      <w:r w:rsidRPr="00AA2E6E">
        <w:rPr>
          <w:rFonts w:eastAsia="Times New Roman" w:cs="Times New Roman"/>
          <w:szCs w:val="20"/>
        </w:rPr>
        <w:tab/>
        <w:t>Section 38</w:t>
      </w:r>
      <w:r w:rsidRPr="00AA2E6E">
        <w:rPr>
          <w:rFonts w:eastAsia="Times New Roman" w:cs="Times New Roman"/>
          <w:szCs w:val="20"/>
        </w:rPr>
        <w:noBreakHyphen/>
        <w:t>71</w:t>
      </w:r>
      <w:r w:rsidRPr="00AA2E6E">
        <w:rPr>
          <w:rFonts w:eastAsia="Times New Roman" w:cs="Times New Roman"/>
          <w:szCs w:val="20"/>
        </w:rPr>
        <w:noBreakHyphen/>
        <w:t>1730(A)(3) of the 1976 Code is amended to read:</w:t>
      </w:r>
    </w:p>
    <w:p w:rsidR="0086669A"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AA2E6E">
        <w:rPr>
          <w:rFonts w:eastAsia="Times New Roman" w:cs="Times New Roman"/>
          <w:szCs w:val="20"/>
        </w:rPr>
        <w:tab/>
        <w:t>“</w:t>
      </w:r>
      <w:r w:rsidRPr="00AA2E6E">
        <w:rPr>
          <w:rFonts w:eastAsia="Times New Roman" w:cs="Times New Roman"/>
          <w:szCs w:val="24"/>
        </w:rPr>
        <w:t>(3)</w:t>
      </w:r>
      <w:r w:rsidRPr="00AA2E6E">
        <w:rPr>
          <w:rFonts w:eastAsia="Times New Roman" w:cs="Times New Roman"/>
          <w:szCs w:val="24"/>
        </w:rPr>
        <w:tab/>
        <w:t>Differences between coinsurance percentages for in</w:t>
      </w:r>
      <w:r w:rsidRPr="00AA2E6E">
        <w:rPr>
          <w:rFonts w:eastAsia="Times New Roman" w:cs="Times New Roman"/>
          <w:szCs w:val="24"/>
        </w:rPr>
        <w:noBreakHyphen/>
        <w:t>network and out</w:t>
      </w:r>
      <w:r w:rsidRPr="00AA2E6E">
        <w:rPr>
          <w:rFonts w:eastAsia="Times New Roman" w:cs="Times New Roman"/>
          <w:szCs w:val="24"/>
        </w:rPr>
        <w:noBreakHyphen/>
        <w:t>of</w:t>
      </w:r>
      <w:r w:rsidRPr="00AA2E6E">
        <w:rPr>
          <w:rFonts w:eastAsia="Times New Roman" w:cs="Times New Roman"/>
          <w:szCs w:val="24"/>
        </w:rPr>
        <w:noBreakHyphen/>
        <w:t>network covered health care services or supplies in a point</w:t>
      </w:r>
      <w:r w:rsidRPr="00AA2E6E">
        <w:rPr>
          <w:rFonts w:eastAsia="Times New Roman" w:cs="Times New Roman"/>
          <w:szCs w:val="24"/>
        </w:rPr>
        <w:noBreakHyphen/>
        <w:t>of</w:t>
      </w:r>
      <w:r w:rsidRPr="00AA2E6E">
        <w:rPr>
          <w:rFonts w:eastAsia="Times New Roman" w:cs="Times New Roman"/>
          <w:szCs w:val="24"/>
        </w:rPr>
        <w:noBreakHyphen/>
        <w:t xml:space="preserve">service option may not exceed a maximum differential of </w:t>
      </w:r>
      <w:r w:rsidRPr="00AA2E6E">
        <w:rPr>
          <w:rFonts w:eastAsia="Times New Roman" w:cs="Times New Roman"/>
          <w:strike/>
          <w:szCs w:val="24"/>
        </w:rPr>
        <w:t>twenty</w:t>
      </w:r>
      <w:r w:rsidRPr="00AA2E6E">
        <w:rPr>
          <w:rFonts w:eastAsia="Times New Roman" w:cs="Times New Roman"/>
          <w:szCs w:val="24"/>
        </w:rPr>
        <w:t xml:space="preserve"> </w:t>
      </w:r>
      <w:r w:rsidRPr="00AA2E6E">
        <w:rPr>
          <w:rFonts w:eastAsia="Times New Roman" w:cs="Times New Roman"/>
          <w:szCs w:val="24"/>
          <w:u w:val="single"/>
        </w:rPr>
        <w:t>thirty</w:t>
      </w:r>
      <w:r w:rsidRPr="00AA2E6E">
        <w:rPr>
          <w:rFonts w:eastAsia="Times New Roman" w:cs="Times New Roman"/>
          <w:szCs w:val="24"/>
        </w:rPr>
        <w:t xml:space="preserve"> percent.  The coinsurance percentage for in</w:t>
      </w:r>
      <w:r w:rsidRPr="00AA2E6E">
        <w:rPr>
          <w:rFonts w:eastAsia="Times New Roman" w:cs="Times New Roman"/>
          <w:szCs w:val="24"/>
        </w:rPr>
        <w:noBreakHyphen/>
        <w:t>network and out</w:t>
      </w:r>
      <w:r w:rsidRPr="00AA2E6E">
        <w:rPr>
          <w:rFonts w:eastAsia="Times New Roman" w:cs="Times New Roman"/>
          <w:szCs w:val="24"/>
        </w:rPr>
        <w:noBreakHyphen/>
        <w:t>of</w:t>
      </w:r>
      <w:r w:rsidRPr="00AA2E6E">
        <w:rPr>
          <w:rFonts w:eastAsia="Times New Roman" w:cs="Times New Roman"/>
          <w:szCs w:val="24"/>
        </w:rPr>
        <w:noBreakHyphen/>
        <w:t xml:space="preserve">network covered health care services or supplies provided by dentists may not exceed a maximum difference of five percent.” </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This act takes effect upon approval by the Governor.</w:t>
      </w:r>
    </w:p>
    <w:p w:rsidR="0086669A" w:rsidRDefault="0086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B37378" w:rsidRDefault="00B37378" w:rsidP="0086669A">
      <w:pPr>
        <w:tabs>
          <w:tab w:val="left" w:pos="216"/>
          <w:tab w:val="left" w:pos="432"/>
          <w:tab w:val="left" w:pos="648"/>
          <w:tab w:val="left" w:pos="864"/>
          <w:tab w:val="left" w:pos="1080"/>
          <w:tab w:val="left" w:pos="1296"/>
          <w:tab w:val="right" w:leader="dot" w:pos="5904"/>
        </w:tabs>
        <w:suppressAutoHyphens/>
      </w:pPr>
    </w:p>
    <w:sectPr w:rsidR="00B37378" w:rsidSect="00E0089C">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378" w:rsidRDefault="0086669A">
      <w:r>
        <w:separator/>
      </w:r>
    </w:p>
  </w:endnote>
  <w:endnote w:type="continuationSeparator" w:id="0">
    <w:p w:rsidR="00B37378" w:rsidRDefault="00866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2DF59E-F474-41A9-AA3D-A8C412C442F7}"/>
    <w:embedBold r:id="rId2" w:fontKey="{8551001C-4FDB-470E-9158-C29D87268CAB}"/>
  </w:font>
  <w:font w:name="Calibri">
    <w:panose1 w:val="020F0502020204030204"/>
    <w:charset w:val="00"/>
    <w:family w:val="swiss"/>
    <w:pitch w:val="variable"/>
    <w:sig w:usb0="E10002FF" w:usb1="4000ACFF" w:usb2="00000009" w:usb3="00000000" w:csb0="0000019F" w:csb1="00000000"/>
    <w:embedRegular r:id="rId3" w:fontKey="{99BF5211-4547-4FFA-AEEA-2B3E72CD4FEC}"/>
    <w:embedBold r:id="rId4" w:fontKey="{A4802C36-D83A-413B-A683-7BD315A9F8E9}"/>
  </w:font>
  <w:font w:name="Tahoma">
    <w:panose1 w:val="020B0604030504040204"/>
    <w:charset w:val="00"/>
    <w:family w:val="swiss"/>
    <w:pitch w:val="variable"/>
    <w:sig w:usb0="21002A87" w:usb1="80000000" w:usb2="00000008" w:usb3="00000000" w:csb0="000101FF" w:csb1="00000000"/>
    <w:embedRegular r:id="rId5" w:fontKey="{C66C9EED-0133-4C0D-9E20-00D67E6E455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083895D-644A-4191-A685-813878A05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9A" w:rsidRDefault="0086669A">
    <w:pPr>
      <w:pStyle w:val="Footer"/>
      <w:tabs>
        <w:tab w:val="clear" w:pos="4680"/>
        <w:tab w:val="clear" w:pos="9360"/>
        <w:tab w:val="center" w:pos="2995"/>
      </w:tabs>
      <w:spacing w:before="120"/>
    </w:pPr>
    <w:r>
      <w:t>[202-</w:t>
    </w:r>
    <w:r w:rsidR="00365632">
      <w:fldChar w:fldCharType="begin"/>
    </w:r>
    <w:r w:rsidR="00365632">
      <w:instrText xml:space="preserve"> PAGE  \* MERGEFORMAT </w:instrText>
    </w:r>
    <w:r w:rsidR="00365632">
      <w:fldChar w:fldCharType="separate"/>
    </w:r>
    <w:r w:rsidR="00365632">
      <w:rPr>
        <w:noProof/>
      </w:rPr>
      <w:t>1</w:t>
    </w:r>
    <w:r w:rsidR="0036563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89C" w:rsidRDefault="0086669A">
    <w:pPr>
      <w:pStyle w:val="Footer"/>
      <w:tabs>
        <w:tab w:val="clear" w:pos="4680"/>
        <w:tab w:val="clear" w:pos="9360"/>
        <w:tab w:val="center" w:pos="2995"/>
      </w:tabs>
      <w:spacing w:before="120"/>
    </w:pPr>
    <w:r>
      <w:t>[202]</w:t>
    </w:r>
    <w:r>
      <w:tab/>
    </w:r>
    <w:r w:rsidR="003E168C">
      <w:fldChar w:fldCharType="begin"/>
    </w:r>
    <w:r>
      <w:instrText xml:space="preserve"> PAGE  \* MERGEFORMAT </w:instrText>
    </w:r>
    <w:r w:rsidR="003E168C">
      <w:fldChar w:fldCharType="separate"/>
    </w:r>
    <w:r w:rsidR="004342FE">
      <w:rPr>
        <w:noProof/>
      </w:rPr>
      <w:t>1</w:t>
    </w:r>
    <w:r w:rsidR="003E16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378" w:rsidRDefault="0086669A">
      <w:r>
        <w:separator/>
      </w:r>
    </w:p>
  </w:footnote>
  <w:footnote w:type="continuationSeparator" w:id="0">
    <w:p w:rsidR="00B37378" w:rsidRDefault="008666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37378"/>
    <w:rsid w:val="001B4C17"/>
    <w:rsid w:val="00292048"/>
    <w:rsid w:val="00364A60"/>
    <w:rsid w:val="00365632"/>
    <w:rsid w:val="003E168C"/>
    <w:rsid w:val="004342FE"/>
    <w:rsid w:val="004B53F8"/>
    <w:rsid w:val="004E0EB3"/>
    <w:rsid w:val="00727D9A"/>
    <w:rsid w:val="0077066D"/>
    <w:rsid w:val="00780C3F"/>
    <w:rsid w:val="0086669A"/>
    <w:rsid w:val="00A02A49"/>
    <w:rsid w:val="00AB1A93"/>
    <w:rsid w:val="00B37378"/>
    <w:rsid w:val="00CC00DF"/>
    <w:rsid w:val="00E0207D"/>
    <w:rsid w:val="00E03F40"/>
    <w:rsid w:val="00E34FD3"/>
    <w:rsid w:val="00ED02FE"/>
    <w:rsid w:val="00FA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5DFCC0-6D91-4F05-A6F7-44CFBE51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3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37378"/>
    <w:rPr>
      <w:szCs w:val="21"/>
    </w:rPr>
  </w:style>
  <w:style w:type="character" w:customStyle="1" w:styleId="PlainTextChar">
    <w:name w:val="Plain Text Char"/>
    <w:basedOn w:val="DefaultParagraphFont"/>
    <w:link w:val="PlainText"/>
    <w:uiPriority w:val="99"/>
    <w:rsid w:val="00B37378"/>
    <w:rPr>
      <w:szCs w:val="21"/>
    </w:rPr>
  </w:style>
  <w:style w:type="paragraph" w:styleId="BodyText">
    <w:name w:val="Body Text"/>
    <w:basedOn w:val="Normal"/>
    <w:link w:val="BodyTextChar"/>
    <w:uiPriority w:val="99"/>
    <w:locked/>
    <w:rsid w:val="00B37378"/>
  </w:style>
  <w:style w:type="character" w:customStyle="1" w:styleId="BodyTextChar">
    <w:name w:val="Body Text Char"/>
    <w:basedOn w:val="DefaultParagraphFont"/>
    <w:link w:val="BodyText"/>
    <w:uiPriority w:val="99"/>
    <w:rsid w:val="00B37378"/>
  </w:style>
  <w:style w:type="paragraph" w:styleId="BalloonText">
    <w:name w:val="Balloon Text"/>
    <w:next w:val="Normal"/>
    <w:link w:val="BalloonTextChar"/>
    <w:uiPriority w:val="99"/>
    <w:unhideWhenUsed/>
    <w:rsid w:val="00B37378"/>
    <w:rPr>
      <w:rFonts w:cs="Tahoma"/>
      <w:szCs w:val="16"/>
    </w:rPr>
  </w:style>
  <w:style w:type="character" w:customStyle="1" w:styleId="BalloonTextChar">
    <w:name w:val="Balloon Text Char"/>
    <w:basedOn w:val="DefaultParagraphFont"/>
    <w:link w:val="BalloonText"/>
    <w:uiPriority w:val="99"/>
    <w:rsid w:val="00B37378"/>
    <w:rPr>
      <w:rFonts w:cs="Tahoma"/>
      <w:szCs w:val="16"/>
    </w:rPr>
  </w:style>
  <w:style w:type="paragraph" w:styleId="NormalWeb">
    <w:name w:val="Normal (Web)"/>
    <w:basedOn w:val="Normal"/>
    <w:next w:val="Normal"/>
    <w:semiHidden/>
    <w:locked/>
    <w:rsid w:val="00B3737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3737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37378"/>
    <w:rPr>
      <w:rFonts w:eastAsia="Times New Roman" w:cs="Times New Roman"/>
      <w:szCs w:val="20"/>
    </w:rPr>
  </w:style>
  <w:style w:type="paragraph" w:styleId="Header">
    <w:name w:val="header"/>
    <w:basedOn w:val="Normal"/>
    <w:link w:val="HeaderChar"/>
    <w:unhideWhenUsed/>
    <w:locked/>
    <w:rsid w:val="00B37378"/>
    <w:pPr>
      <w:tabs>
        <w:tab w:val="center" w:pos="4680"/>
        <w:tab w:val="right" w:pos="9360"/>
      </w:tabs>
    </w:pPr>
  </w:style>
  <w:style w:type="character" w:customStyle="1" w:styleId="HeaderChar">
    <w:name w:val="Header Char"/>
    <w:basedOn w:val="DefaultParagraphFont"/>
    <w:link w:val="Header"/>
    <w:rsid w:val="00B37378"/>
  </w:style>
  <w:style w:type="character" w:styleId="LineNumber">
    <w:name w:val="line number"/>
    <w:basedOn w:val="DefaultParagraphFont"/>
    <w:uiPriority w:val="99"/>
    <w:semiHidden/>
    <w:unhideWhenUsed/>
    <w:locked/>
    <w:rsid w:val="00B37378"/>
  </w:style>
  <w:style w:type="character" w:styleId="Hyperlink">
    <w:name w:val="Hyperlink"/>
    <w:basedOn w:val="DefaultParagraphFont"/>
    <w:uiPriority w:val="99"/>
    <w:unhideWhenUsed/>
    <w:locked/>
    <w:rsid w:val="00B37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hyperlink" Target="file:///h:\HJ%20Archive\2009\04-30-09.docx" TargetMode="External"/><Relationship Id="rId18" Type="http://schemas.openxmlformats.org/officeDocument/2006/relationships/hyperlink" Target="file:///h:\HJ%20Archive\2009\05-14-09.docx" TargetMode="External"/><Relationship Id="rId26" Type="http://schemas.openxmlformats.org/officeDocument/2006/relationships/hyperlink" Target="file:///p:\pprever\2009-10\202_20090430.docx" TargetMode="External"/><Relationship Id="rId3" Type="http://schemas.openxmlformats.org/officeDocument/2006/relationships/webSettings" Target="webSettings.xml"/><Relationship Id="rId21" Type="http://schemas.openxmlformats.org/officeDocument/2006/relationships/hyperlink" Target="file:///h:\SJ%20Archive\2010\01-21-10.docx" TargetMode="External"/><Relationship Id="rId7" Type="http://schemas.openxmlformats.org/officeDocument/2006/relationships/hyperlink" Target="file:///h:\SJ%20Archive\2009\01-13-09.docx" TargetMode="External"/><Relationship Id="rId12" Type="http://schemas.openxmlformats.org/officeDocument/2006/relationships/hyperlink" Target="file:///h:\HJ%20Archive\2009\03-25-09.docx" TargetMode="External"/><Relationship Id="rId17" Type="http://schemas.openxmlformats.org/officeDocument/2006/relationships/hyperlink" Target="file:///h:\HJ%20Archive\2009\05-14-09.docx" TargetMode="External"/><Relationship Id="rId25" Type="http://schemas.openxmlformats.org/officeDocument/2006/relationships/hyperlink" Target="file:///p:\pprever\2009-10\202_20090312.docx" TargetMode="External"/><Relationship Id="rId2" Type="http://schemas.openxmlformats.org/officeDocument/2006/relationships/settings" Target="settings.xml"/><Relationship Id="rId16" Type="http://schemas.openxmlformats.org/officeDocument/2006/relationships/hyperlink" Target="file:///h:\HJ%20Archive\2009\05-14-09.docx" TargetMode="External"/><Relationship Id="rId20" Type="http://schemas.openxmlformats.org/officeDocument/2006/relationships/hyperlink" Target="file:///h:\HJ%20Archive\2009\05-15-09.docx"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HJ%20Archive\2009\03-25-09.docx" TargetMode="External"/><Relationship Id="rId24" Type="http://schemas.openxmlformats.org/officeDocument/2006/relationships/hyperlink" Target="file:///p:\pprever\2009-10\202_20090311.docx" TargetMode="External"/><Relationship Id="rId5" Type="http://schemas.openxmlformats.org/officeDocument/2006/relationships/endnotes" Target="endnotes.xml"/><Relationship Id="rId15" Type="http://schemas.openxmlformats.org/officeDocument/2006/relationships/hyperlink" Target="file:///h:\HJ%20Archive\2009\05-12-09.docx" TargetMode="External"/><Relationship Id="rId23" Type="http://schemas.openxmlformats.org/officeDocument/2006/relationships/hyperlink" Target="file:///p:\pprever\2009-10\202_20081217.docx" TargetMode="External"/><Relationship Id="rId28" Type="http://schemas.openxmlformats.org/officeDocument/2006/relationships/footer" Target="footer1.xml"/><Relationship Id="rId10" Type="http://schemas.openxmlformats.org/officeDocument/2006/relationships/hyperlink" Target="file:///h:\SJ%20Archive\2009\03-24-09.docx" TargetMode="External"/><Relationship Id="rId19" Type="http://schemas.openxmlformats.org/officeDocument/2006/relationships/hyperlink" Target="file:///h:\HJ%20Archive\2009\05-14-09.docx"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09\03-17-09.docx" TargetMode="External"/><Relationship Id="rId14" Type="http://schemas.openxmlformats.org/officeDocument/2006/relationships/hyperlink" Target="file:///h:\HJ%20Archive\2009\05-12-09.docx" TargetMode="External"/><Relationship Id="rId22" Type="http://schemas.openxmlformats.org/officeDocument/2006/relationships/hyperlink" Target="file:///h:\SJ%20Archive\2010\06-01-10.docx" TargetMode="External"/><Relationship Id="rId27" Type="http://schemas.openxmlformats.org/officeDocument/2006/relationships/hyperlink" Target="file:///p:\pprever\2009-10\202_20090514.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2210</Words>
  <Characters>12012</Characters>
  <Application>Microsoft Office Word</Application>
  <DocSecurity>0</DocSecurity>
  <Lines>328</Lines>
  <Paragraphs>91</Paragraphs>
  <ScaleCrop>false</ScaleCrop>
  <Company>Project Management</Company>
  <LinksUpToDate>false</LinksUpToDate>
  <CharactersWithSpaces>14241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202: Insurance - South Carolina Legislature Online</dc:title>
  <dc:subject/>
  <dc:creator>NSC</dc:creator>
  <cp:keywords/>
  <dc:description/>
  <cp:lastModifiedBy>N Cumfer</cp:lastModifiedBy>
  <cp:revision>12</cp:revision>
  <dcterms:created xsi:type="dcterms:W3CDTF">2009-05-14T22:07:00Z</dcterms:created>
  <dcterms:modified xsi:type="dcterms:W3CDTF">2014-11-24T14:55:00Z</dcterms:modified>
</cp:coreProperties>
</file>