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536" w:rsidRDefault="00772587">
      <w:pPr>
        <w:widowControl w:val="0"/>
        <w:jc w:val="center"/>
        <w:rPr>
          <w:rFonts w:cs="Times New Roman"/>
        </w:rPr>
      </w:pPr>
      <w:bookmarkStart w:id="0" w:name="_GoBack"/>
      <w:bookmarkEnd w:id="0"/>
      <w:r>
        <w:rPr>
          <w:rFonts w:cs="Times New Roman"/>
          <w:b/>
        </w:rPr>
        <w:t>South Carolina General Assembly</w:t>
      </w:r>
    </w:p>
    <w:p w:rsidR="00A01536" w:rsidRDefault="00772587">
      <w:pPr>
        <w:widowControl w:val="0"/>
        <w:jc w:val="center"/>
        <w:rPr>
          <w:rFonts w:cs="Times New Roman"/>
        </w:rPr>
      </w:pPr>
      <w:r>
        <w:rPr>
          <w:rFonts w:cs="Times New Roman"/>
        </w:rPr>
        <w:t>118th Session, 2009-2010</w:t>
      </w:r>
    </w:p>
    <w:p w:rsidR="00A01536" w:rsidRDefault="00A01536">
      <w:pPr>
        <w:widowControl w:val="0"/>
        <w:jc w:val="left"/>
        <w:rPr>
          <w:rFonts w:cs="Times New Roman"/>
        </w:rPr>
      </w:pPr>
    </w:p>
    <w:p w:rsidR="00A01536" w:rsidRDefault="00772587">
      <w:pPr>
        <w:widowControl w:val="0"/>
        <w:jc w:val="left"/>
        <w:rPr>
          <w:rFonts w:cs="Times New Roman"/>
          <w:b/>
        </w:rPr>
      </w:pPr>
      <w:r>
        <w:rPr>
          <w:rFonts w:cs="Times New Roman"/>
          <w:b/>
        </w:rPr>
        <w:t>S. 229</w:t>
      </w:r>
    </w:p>
    <w:p w:rsidR="00A01536" w:rsidRDefault="00A01536">
      <w:pPr>
        <w:widowControl w:val="0"/>
        <w:jc w:val="left"/>
        <w:rPr>
          <w:rFonts w:cs="Times New Roman"/>
          <w:b/>
        </w:rPr>
      </w:pPr>
    </w:p>
    <w:p w:rsidR="00A01536" w:rsidRDefault="00772587">
      <w:pPr>
        <w:widowControl w:val="0"/>
        <w:jc w:val="left"/>
        <w:rPr>
          <w:rFonts w:cs="Times New Roman"/>
        </w:rPr>
      </w:pPr>
      <w:r>
        <w:rPr>
          <w:rFonts w:cs="Times New Roman"/>
          <w:b/>
        </w:rPr>
        <w:t>STATUS INFORMATION</w:t>
      </w:r>
    </w:p>
    <w:p w:rsidR="00A01536" w:rsidRDefault="00A01536">
      <w:pPr>
        <w:widowControl w:val="0"/>
        <w:jc w:val="left"/>
        <w:rPr>
          <w:rFonts w:cs="Times New Roman"/>
        </w:rPr>
      </w:pPr>
    </w:p>
    <w:p w:rsidR="00A01536" w:rsidRDefault="00772587">
      <w:pPr>
        <w:widowControl w:val="0"/>
        <w:jc w:val="left"/>
        <w:rPr>
          <w:rFonts w:cs="Times New Roman"/>
        </w:rPr>
      </w:pPr>
      <w:r>
        <w:rPr>
          <w:rFonts w:cs="Times New Roman"/>
        </w:rPr>
        <w:t>General Bill</w:t>
      </w:r>
    </w:p>
    <w:p w:rsidR="00A01536" w:rsidRDefault="00772587">
      <w:pPr>
        <w:widowControl w:val="0"/>
        <w:jc w:val="left"/>
        <w:rPr>
          <w:rFonts w:cs="Times New Roman"/>
        </w:rPr>
      </w:pPr>
      <w:r>
        <w:rPr>
          <w:rFonts w:cs="Times New Roman"/>
        </w:rPr>
        <w:t>Sponsors: Senators Bryant, Rose, Shoopman, Massey, Davis, Bright and McConnell</w:t>
      </w:r>
    </w:p>
    <w:p w:rsidR="00A01536" w:rsidRDefault="00772587">
      <w:pPr>
        <w:widowControl w:val="0"/>
        <w:jc w:val="left"/>
        <w:rPr>
          <w:rFonts w:cs="Times New Roman"/>
        </w:rPr>
      </w:pPr>
      <w:r>
        <w:rPr>
          <w:rFonts w:cs="Times New Roman"/>
        </w:rPr>
        <w:t>Document Path: l:\s-res\klb\002tran.kmm.klb.docx</w:t>
      </w:r>
    </w:p>
    <w:p w:rsidR="00A01536" w:rsidRDefault="00772587">
      <w:pPr>
        <w:widowControl w:val="0"/>
        <w:jc w:val="left"/>
        <w:rPr>
          <w:rFonts w:cs="Times New Roman"/>
        </w:rPr>
      </w:pPr>
      <w:r>
        <w:rPr>
          <w:rFonts w:cs="Times New Roman"/>
        </w:rPr>
        <w:t>Companion/Similar bill(s): 221, 3540</w:t>
      </w:r>
    </w:p>
    <w:p w:rsidR="00A01536" w:rsidRDefault="00A01536">
      <w:pPr>
        <w:widowControl w:val="0"/>
        <w:jc w:val="left"/>
        <w:rPr>
          <w:rFonts w:cs="Times New Roman"/>
        </w:rPr>
      </w:pPr>
    </w:p>
    <w:p w:rsidR="00A01536" w:rsidRDefault="00772587">
      <w:pPr>
        <w:widowControl w:val="0"/>
        <w:jc w:val="left"/>
        <w:rPr>
          <w:rFonts w:cs="Times New Roman"/>
        </w:rPr>
      </w:pPr>
      <w:r>
        <w:rPr>
          <w:rFonts w:cs="Times New Roman"/>
        </w:rPr>
        <w:t>Introduced in the Senate on January 13, 2009</w:t>
      </w:r>
    </w:p>
    <w:p w:rsidR="00A01536" w:rsidRDefault="00772587">
      <w:pPr>
        <w:widowControl w:val="0"/>
        <w:jc w:val="left"/>
        <w:rPr>
          <w:rFonts w:cs="Times New Roman"/>
        </w:rPr>
      </w:pPr>
      <w:r>
        <w:rPr>
          <w:rFonts w:cs="Times New Roman"/>
        </w:rPr>
        <w:t xml:space="preserve">Currently residing in the Senate Committee on </w:t>
      </w:r>
      <w:r>
        <w:rPr>
          <w:rFonts w:cs="Times New Roman"/>
          <w:b/>
        </w:rPr>
        <w:t>Finance</w:t>
      </w:r>
    </w:p>
    <w:p w:rsidR="00A01536" w:rsidRDefault="00A01536">
      <w:pPr>
        <w:widowControl w:val="0"/>
        <w:jc w:val="left"/>
        <w:rPr>
          <w:rFonts w:cs="Times New Roman"/>
        </w:rPr>
      </w:pPr>
    </w:p>
    <w:p w:rsidR="00A01536" w:rsidRDefault="00772587">
      <w:pPr>
        <w:widowControl w:val="0"/>
        <w:jc w:val="left"/>
        <w:rPr>
          <w:rFonts w:cs="Times New Roman"/>
        </w:rPr>
      </w:pPr>
      <w:r>
        <w:rPr>
          <w:rFonts w:cs="Times New Roman"/>
        </w:rPr>
        <w:t>Summary: Truth in Spending Act</w:t>
      </w:r>
    </w:p>
    <w:p w:rsidR="00A01536" w:rsidRDefault="00A01536">
      <w:pPr>
        <w:widowControl w:val="0"/>
        <w:jc w:val="left"/>
        <w:rPr>
          <w:rFonts w:cs="Times New Roman"/>
        </w:rPr>
      </w:pPr>
    </w:p>
    <w:p w:rsidR="00A01536" w:rsidRDefault="00A01536">
      <w:pPr>
        <w:widowControl w:val="0"/>
        <w:jc w:val="left"/>
        <w:rPr>
          <w:rFonts w:cs="Times New Roman"/>
        </w:rPr>
      </w:pPr>
    </w:p>
    <w:p w:rsidR="00A01536" w:rsidRDefault="0077258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01536" w:rsidRDefault="00A01536">
      <w:pPr>
        <w:widowControl w:val="0"/>
        <w:tabs>
          <w:tab w:val="center" w:pos="590"/>
          <w:tab w:val="center" w:pos="1440"/>
          <w:tab w:val="left" w:pos="1872"/>
          <w:tab w:val="left" w:pos="9187"/>
        </w:tabs>
        <w:jc w:val="left"/>
        <w:rPr>
          <w:rFonts w:cs="Times New Roman"/>
        </w:rPr>
      </w:pPr>
    </w:p>
    <w:p w:rsidR="00A01536" w:rsidRDefault="0077258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01536" w:rsidRDefault="0077258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A01536" w:rsidRDefault="0077258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A01536" w:rsidRDefault="0077258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8011F">
          <w:rPr>
            <w:rStyle w:val="Hyperlink"/>
            <w:rFonts w:cs="Times New Roman"/>
          </w:rPr>
          <w:t>SJ</w:t>
        </w:r>
      </w:hyperlink>
      <w:r>
        <w:rPr>
          <w:rFonts w:cs="Times New Roman"/>
        </w:rPr>
        <w:noBreakHyphen/>
        <w:t>188</w:t>
      </w:r>
    </w:p>
    <w:p w:rsidR="00A01536" w:rsidRDefault="0077258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F8011F">
          <w:rPr>
            <w:rStyle w:val="Hyperlink"/>
            <w:rFonts w:cs="Times New Roman"/>
          </w:rPr>
          <w:t>SJ</w:t>
        </w:r>
      </w:hyperlink>
      <w:r>
        <w:rPr>
          <w:rFonts w:cs="Times New Roman"/>
        </w:rPr>
        <w:noBreakHyphen/>
        <w:t>188</w:t>
      </w:r>
    </w:p>
    <w:p w:rsidR="00A01536" w:rsidRDefault="00A01536">
      <w:pPr>
        <w:widowControl w:val="0"/>
        <w:tabs>
          <w:tab w:val="right" w:pos="1008"/>
          <w:tab w:val="left" w:pos="1152"/>
          <w:tab w:val="left" w:pos="1872"/>
          <w:tab w:val="left" w:pos="9187"/>
        </w:tabs>
        <w:ind w:left="2088" w:hanging="2088"/>
        <w:jc w:val="left"/>
        <w:rPr>
          <w:rFonts w:cs="Times New Roman"/>
        </w:rPr>
      </w:pPr>
    </w:p>
    <w:p w:rsidR="00A01536" w:rsidRDefault="00A01536">
      <w:pPr>
        <w:widowControl w:val="0"/>
        <w:tabs>
          <w:tab w:val="right" w:pos="1008"/>
          <w:tab w:val="left" w:pos="1152"/>
          <w:tab w:val="left" w:pos="1872"/>
          <w:tab w:val="left" w:pos="9187"/>
        </w:tabs>
        <w:ind w:left="2088" w:hanging="2088"/>
        <w:jc w:val="left"/>
        <w:rPr>
          <w:rFonts w:cs="Times New Roman"/>
        </w:rPr>
      </w:pPr>
    </w:p>
    <w:p w:rsidR="00A01536" w:rsidRDefault="00772587">
      <w:pPr>
        <w:widowControl w:val="0"/>
        <w:jc w:val="left"/>
        <w:rPr>
          <w:rFonts w:cs="Times New Roman"/>
        </w:rPr>
      </w:pPr>
      <w:r>
        <w:rPr>
          <w:rFonts w:cs="Times New Roman"/>
          <w:b/>
        </w:rPr>
        <w:t>VERSIONS OF THIS BILL</w:t>
      </w:r>
    </w:p>
    <w:p w:rsidR="00A01536" w:rsidRDefault="00A01536">
      <w:pPr>
        <w:widowControl w:val="0"/>
        <w:jc w:val="left"/>
        <w:rPr>
          <w:rFonts w:cs="Times New Roman"/>
        </w:rPr>
      </w:pPr>
    </w:p>
    <w:p w:rsidR="00A01536" w:rsidRDefault="00294907">
      <w:pPr>
        <w:widowControl w:val="0"/>
        <w:jc w:val="left"/>
        <w:rPr>
          <w:rFonts w:cs="Times New Roman"/>
        </w:rPr>
      </w:pPr>
      <w:hyperlink r:id="rId8" w:history="1">
        <w:r w:rsidR="00772587">
          <w:rPr>
            <w:rStyle w:val="Hyperlink"/>
            <w:rFonts w:cs="Times New Roman"/>
          </w:rPr>
          <w:t>12/17/2008</w:t>
        </w:r>
      </w:hyperlink>
    </w:p>
    <w:p w:rsidR="00A01536" w:rsidRDefault="00A01536"/>
    <w:p w:rsidR="00A01536" w:rsidRDefault="00A01536">
      <w:pPr>
        <w:sectPr w:rsidR="00A01536">
          <w:pgSz w:w="12240" w:h="15840" w:code="1"/>
          <w:pgMar w:top="1080" w:right="1440" w:bottom="1080" w:left="1440" w:header="720" w:footer="720" w:gutter="0"/>
          <w:cols w:space="720"/>
          <w:noEndnote/>
          <w:docGrid w:linePitch="360"/>
        </w:sect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cs="Times New Roman"/>
        </w:rPr>
        <w:t>TO AMEND CHAPTER 1, TITLE 1 OF THE 1976 CODE, RELATING TO THE ADMINISTRATION OF GOVERNMENT, BY ADDING ARTICLE 17, THE TRUTH IN SPENDING ACT, TO PROVIDE THAT THE COMPTROLLER GENERAL FOR EACH AGENCY, DEPARTMENT, AND INSTITUTION OF STATE GOVERNMENT AND EACH LOCAL GOVERNMENTAL ENTITY MUST MAINTAIN A DETAILED TRANSACTION REGISTER OF ALL FUNDS EXPENDED EACH MONTH AND POST THAT REGISTER ONLINE, TO PROVIDE THAT THE COMPTROLLER GENERAL FOR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17</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Truth In Spending Act</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1</w:t>
      </w:r>
      <w:r>
        <w:rPr>
          <w:rFonts w:eastAsia="Times New Roman" w:cs="Times New Roman"/>
          <w:szCs w:val="20"/>
        </w:rPr>
        <w:noBreakHyphen/>
        <w:t>1</w:t>
      </w:r>
      <w:r>
        <w:rPr>
          <w:rFonts w:eastAsia="Times New Roman" w:cs="Times New Roman"/>
          <w:szCs w:val="20"/>
        </w:rPr>
        <w:noBreakHyphen/>
        <w:t>1100.</w:t>
      </w:r>
      <w:r>
        <w:rPr>
          <w:rFonts w:eastAsia="Times New Roman" w:cs="Times New Roman"/>
          <w:szCs w:val="20"/>
        </w:rPr>
        <w:tab/>
        <w:t>For the purposes of this article: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szCs w:val="20"/>
        </w:rPr>
        <w:tab/>
        <w:t>(1)</w:t>
      </w:r>
      <w:r>
        <w:rPr>
          <w:rFonts w:eastAsia="Times New Roman" w:cs="Times New Roman"/>
          <w:szCs w:val="20"/>
        </w:rPr>
        <w:tab/>
        <w:t xml:space="preserve">‘Class’ means </w:t>
      </w:r>
      <w:r>
        <w:rPr>
          <w:rFonts w:eastAsia="Times New Roman" w:cs="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18"/>
        </w:rPr>
        <w:tab/>
        <w:t>(2)</w:t>
      </w:r>
      <w:r>
        <w:rPr>
          <w:rFonts w:eastAsia="Times New Roman" w:cs="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‘Local governmental entity’ means every county, municipal corporation, township, school district, special purpose district, drainage district, or other taxing or governmental unit organized under the laws of the State.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‘State agency’ means an agency, department, or institution of state government.</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1110.</w:t>
      </w:r>
      <w:r>
        <w:rPr>
          <w:rFonts w:eastAsia="Times New Roman" w:cs="Times New Roman"/>
          <w:szCs w:val="20"/>
        </w:rPr>
        <w:tab/>
        <w:t>(A)</w:t>
      </w:r>
      <w:r>
        <w:rPr>
          <w:rFonts w:eastAsia="Times New Roman" w:cs="Times New Roman"/>
          <w:szCs w:val="20"/>
        </w:rPr>
        <w:tab/>
        <w:t>The comptroller general shall maintain a transaction register for each state agency that includes a complete record of all funds expended over one hundred dollars, from whatever source for whatever purpose.  The register must be prominently posted on the comptroller general’s internet website and made available for public viewing and downloading.</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(1)(a)</w:t>
      </w:r>
      <w:r>
        <w:rPr>
          <w:rFonts w:eastAsia="Times New Roman" w:cs="Times New Roman"/>
          <w:szCs w:val="20"/>
        </w:rPr>
        <w:tab/>
        <w:t>The register must include for each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the transaction amount;</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the name of the payee; and</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statement providing a detailed description of the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register must not include an entry for salary, wages, or other compensation paid to individual employees.</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register must not include any information that can be used to identify an individual employee.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register must be accompanied by a complete explanation of any codes or acronyms used to identify a payee or an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be searchable and updated at least once a month.  Each monthly register must be maintained on the internet website for at least five years.</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comptroller general shall also maintain for each state agency on its internet website a copy of each monthly statement for all of the credit cards maintained by each agency, including credit cards issued to its officers or employees for official use.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credit card number on each statement must be redacted prior to posting on the internet website.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1120.</w:t>
      </w:r>
      <w:r>
        <w:rPr>
          <w:rFonts w:eastAsia="Times New Roman" w:cs="Times New Roman"/>
          <w:szCs w:val="20"/>
        </w:rPr>
        <w:tab/>
      </w:r>
      <w:r>
        <w:rPr>
          <w:rFonts w:eastAsia="Times New Roman" w:cs="Times New Roman"/>
          <w:szCs w:val="20"/>
        </w:rPr>
        <w:tab/>
        <w:t>(A)</w:t>
      </w:r>
      <w:r>
        <w:rPr>
          <w:rFonts w:eastAsia="Times New Roman" w:cs="Times New Roman"/>
          <w:szCs w:val="20"/>
        </w:rPr>
        <w:tab/>
        <w:t>Each local governmental entity in the State shall maintain a transaction register that includes a complete record of all funds expended over one hundred dollars, from whatever source for whatever purpose.  The register must be prominently posted on the entity’s internet website and made available for public viewing and downloading.</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(1)(a)</w:t>
      </w:r>
      <w:r>
        <w:rPr>
          <w:rFonts w:eastAsia="Times New Roman" w:cs="Times New Roman"/>
          <w:szCs w:val="20"/>
        </w:rPr>
        <w:tab/>
        <w:t>The register must include for each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the transaction amount;</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the name of the payee; and</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statement providing a detailed description of the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register must not include an entry for salary, wages, or other compensation paid to individual employees.</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register must not include any information that can be used to identify an individual employee.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register must be accompanied by a complete explanation of any codes or acronyms used to identify a payee or an expenditure.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be searchable and updated at least once a month.  Each monthly register must be maintained on the internet website for at least five years.</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local governmental entity shall also maintain on its internet website a copy of each monthly statement for all of the credit cards maintained by the entity, including credit cards issued to its officers or employees for official use.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credit card number on each statement must be redacted prior to posting on the internet website.</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1130.</w:t>
      </w:r>
      <w:r>
        <w:rPr>
          <w:rFonts w:eastAsia="Times New Roman" w:cs="Times New Roman"/>
          <w:szCs w:val="20"/>
        </w:rPr>
        <w:tab/>
        <w:t>(A)</w:t>
      </w:r>
      <w:r>
        <w:rPr>
          <w:rFonts w:eastAsia="Times New Roman" w:cs="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state agency shall post on its internet website the report that must be prepared pursuant to Section 1</w:t>
      </w:r>
      <w:r>
        <w:rPr>
          <w:rFonts w:eastAsia="Times New Roman" w:cs="Times New Roman"/>
          <w:szCs w:val="20"/>
        </w:rPr>
        <w:noBreakHyphen/>
        <w:t>1</w:t>
      </w:r>
      <w:r>
        <w:rPr>
          <w:rFonts w:eastAsia="Times New Roman" w:cs="Times New Roman"/>
          <w:szCs w:val="20"/>
        </w:rPr>
        <w:noBreakHyphen/>
        <w:t>970.  Each report must be maintained on the internet website for five years.</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1140.</w:t>
      </w:r>
      <w:r>
        <w:rPr>
          <w:rFonts w:eastAsia="Times New Roman" w:cs="Times New Roman"/>
          <w:szCs w:val="20"/>
        </w:rPr>
        <w:tab/>
        <w:t>(A)</w:t>
      </w:r>
      <w:r>
        <w:rPr>
          <w:rFonts w:eastAsia="Times New Roman" w:cs="Times New Roman"/>
          <w:szCs w:val="20"/>
        </w:rPr>
        <w:tab/>
        <w:t xml:space="preserve">The comptroller general must establish and maintain a website to contain the information required by this article from a local governmental entity that does not maintain its own internet website.  The internet website must be organized so that the public can differentiate between the local governmental entities and search for the information they are seeking. </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Local governmental entities that do not maintain an internet website must transmit all information required by this article to the comptroller general in a manner and at a time determined by the comptroller general to be included on the internet website required by this section.</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1150.</w:t>
      </w:r>
      <w:r>
        <w:rPr>
          <w:rFonts w:eastAsia="Times New Roman" w:cs="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1160.</w:t>
      </w:r>
      <w:r>
        <w:rPr>
          <w:rFonts w:eastAsia="Times New Roman" w:cs="Times New Roman"/>
          <w:szCs w:val="20"/>
        </w:rPr>
        <w:tab/>
        <w:t>The provisions contained in this article do not amend, suspend, supercede, replace, revoke, restrict, or otherwise affect Chapter 4, Title 30, the South Carolina Freedom of Information Act.”</w:t>
      </w:r>
    </w:p>
    <w:p w:rsidR="00A01536" w:rsidRDefault="00A01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January 1, 2010.</w:t>
      </w:r>
    </w:p>
    <w:p w:rsidR="00A01536" w:rsidRDefault="00772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01536" w:rsidSect="00A015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536" w:rsidRDefault="00772587">
      <w:r>
        <w:separator/>
      </w:r>
    </w:p>
  </w:endnote>
  <w:endnote w:type="continuationSeparator" w:id="0">
    <w:p w:rsidR="00A01536" w:rsidRDefault="0077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8DBE7-7FFD-4824-94DC-F4D27C5397D2}"/>
    <w:embedBold r:id="rId2" w:fontKey="{EA9BF3FB-B1EA-4A12-B9B5-30DAEB85CC8C}"/>
  </w:font>
  <w:font w:name="Calibri">
    <w:panose1 w:val="020F0502020204030204"/>
    <w:charset w:val="00"/>
    <w:family w:val="swiss"/>
    <w:pitch w:val="variable"/>
    <w:sig w:usb0="E10002FF" w:usb1="4000ACFF" w:usb2="00000009" w:usb3="00000000" w:csb0="0000019F" w:csb1="00000000"/>
    <w:embedRegular r:id="rId3" w:fontKey="{F556BC36-47F1-42DB-9B30-F7F6A9801CBB}"/>
    <w:embedBold r:id="rId4" w:fontKey="{8536C5D1-5872-440A-94CC-A53203907E6A}"/>
  </w:font>
  <w:font w:name="Tahoma">
    <w:panose1 w:val="020B0604030504040204"/>
    <w:charset w:val="00"/>
    <w:family w:val="swiss"/>
    <w:pitch w:val="variable"/>
    <w:sig w:usb0="21002A87" w:usb1="80000000" w:usb2="00000008" w:usb3="00000000" w:csb0="000101FF" w:csb1="00000000"/>
    <w:embedRegular r:id="rId5" w:fontKey="{775C524C-E311-401C-AAF0-243F67FF80B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9B8E7F1-1832-4A65-9E29-D040E9587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536" w:rsidRDefault="00772587">
    <w:pPr>
      <w:pStyle w:val="Footer"/>
      <w:tabs>
        <w:tab w:val="clear" w:pos="4680"/>
        <w:tab w:val="clear" w:pos="9360"/>
        <w:tab w:val="center" w:pos="2995"/>
      </w:tabs>
      <w:spacing w:before="120"/>
    </w:pPr>
    <w:r>
      <w:t>[229]</w:t>
    </w:r>
    <w:r>
      <w:tab/>
    </w:r>
    <w:r w:rsidR="00294907">
      <w:fldChar w:fldCharType="begin"/>
    </w:r>
    <w:r w:rsidR="00294907">
      <w:instrText xml:space="preserve"> PAGE  \* MERGEFORMAT </w:instrText>
    </w:r>
    <w:r w:rsidR="00294907">
      <w:fldChar w:fldCharType="separate"/>
    </w:r>
    <w:r w:rsidR="00294907">
      <w:rPr>
        <w:noProof/>
      </w:rPr>
      <w:t>1</w:t>
    </w:r>
    <w:r w:rsidR="002949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536" w:rsidRDefault="00772587">
      <w:r>
        <w:separator/>
      </w:r>
    </w:p>
  </w:footnote>
  <w:footnote w:type="continuationSeparator" w:id="0">
    <w:p w:rsidR="00A01536" w:rsidRDefault="007725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01536"/>
    <w:rsid w:val="00294907"/>
    <w:rsid w:val="002A5056"/>
    <w:rsid w:val="003C4438"/>
    <w:rsid w:val="006E23C6"/>
    <w:rsid w:val="00772587"/>
    <w:rsid w:val="00A01536"/>
    <w:rsid w:val="00F80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5D534F-4771-4159-82F5-47840D14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5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01536"/>
    <w:rPr>
      <w:szCs w:val="21"/>
    </w:rPr>
  </w:style>
  <w:style w:type="character" w:customStyle="1" w:styleId="PlainTextChar">
    <w:name w:val="Plain Text Char"/>
    <w:basedOn w:val="DefaultParagraphFont"/>
    <w:link w:val="PlainText"/>
    <w:uiPriority w:val="99"/>
    <w:rsid w:val="00A01536"/>
    <w:rPr>
      <w:szCs w:val="21"/>
    </w:rPr>
  </w:style>
  <w:style w:type="paragraph" w:styleId="BodyText">
    <w:name w:val="Body Text"/>
    <w:basedOn w:val="Normal"/>
    <w:link w:val="BodyTextChar"/>
    <w:uiPriority w:val="99"/>
    <w:locked/>
    <w:rsid w:val="00A01536"/>
  </w:style>
  <w:style w:type="character" w:customStyle="1" w:styleId="BodyTextChar">
    <w:name w:val="Body Text Char"/>
    <w:basedOn w:val="DefaultParagraphFont"/>
    <w:link w:val="BodyText"/>
    <w:uiPriority w:val="99"/>
    <w:rsid w:val="00A01536"/>
  </w:style>
  <w:style w:type="paragraph" w:styleId="BalloonText">
    <w:name w:val="Balloon Text"/>
    <w:next w:val="Normal"/>
    <w:link w:val="BalloonTextChar"/>
    <w:uiPriority w:val="99"/>
    <w:unhideWhenUsed/>
    <w:rsid w:val="00A01536"/>
    <w:rPr>
      <w:rFonts w:cs="Tahoma"/>
      <w:szCs w:val="16"/>
    </w:rPr>
  </w:style>
  <w:style w:type="character" w:customStyle="1" w:styleId="BalloonTextChar">
    <w:name w:val="Balloon Text Char"/>
    <w:basedOn w:val="DefaultParagraphFont"/>
    <w:link w:val="BalloonText"/>
    <w:uiPriority w:val="99"/>
    <w:rsid w:val="00A01536"/>
    <w:rPr>
      <w:rFonts w:cs="Tahoma"/>
      <w:szCs w:val="16"/>
    </w:rPr>
  </w:style>
  <w:style w:type="paragraph" w:styleId="NormalWeb">
    <w:name w:val="Normal (Web)"/>
    <w:basedOn w:val="Normal"/>
    <w:next w:val="Normal"/>
    <w:semiHidden/>
    <w:locked/>
    <w:rsid w:val="00A0153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0153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01536"/>
    <w:rPr>
      <w:rFonts w:cs="Times New Roman"/>
    </w:rPr>
  </w:style>
  <w:style w:type="paragraph" w:styleId="Header">
    <w:name w:val="header"/>
    <w:basedOn w:val="Normal"/>
    <w:link w:val="HeaderChar"/>
    <w:uiPriority w:val="99"/>
    <w:semiHidden/>
    <w:unhideWhenUsed/>
    <w:locked/>
    <w:rsid w:val="00A01536"/>
    <w:pPr>
      <w:tabs>
        <w:tab w:val="center" w:pos="4680"/>
        <w:tab w:val="right" w:pos="9360"/>
      </w:tabs>
    </w:pPr>
  </w:style>
  <w:style w:type="character" w:customStyle="1" w:styleId="HeaderChar">
    <w:name w:val="Header Char"/>
    <w:basedOn w:val="DefaultParagraphFont"/>
    <w:link w:val="Header"/>
    <w:uiPriority w:val="99"/>
    <w:semiHidden/>
    <w:rsid w:val="00A01536"/>
  </w:style>
  <w:style w:type="character" w:styleId="LineNumber">
    <w:name w:val="line number"/>
    <w:basedOn w:val="DefaultParagraphFont"/>
    <w:uiPriority w:val="99"/>
    <w:semiHidden/>
    <w:unhideWhenUsed/>
    <w:locked/>
    <w:rsid w:val="00A01536"/>
  </w:style>
  <w:style w:type="character" w:styleId="Hyperlink">
    <w:name w:val="Hyperlink"/>
    <w:basedOn w:val="DefaultParagraphFont"/>
    <w:uiPriority w:val="99"/>
    <w:unhideWhenUsed/>
    <w:locked/>
    <w:rsid w:val="00A015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9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1281</Words>
  <Characters>6821</Characters>
  <Application>Microsoft Office Word</Application>
  <DocSecurity>0</DocSecurity>
  <Lines>195</Lines>
  <Paragraphs>62</Paragraphs>
  <ScaleCrop>false</ScaleCrop>
  <Company>Project Management</Company>
  <LinksUpToDate>false</LinksUpToDate>
  <CharactersWithSpaces>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229: Truth in Spending Act - South Carolina Legislature Online</dc:title>
  <dc:subject/>
  <dc:creator>NSC</dc:creator>
  <cp:keywords/>
  <dc:description/>
  <cp:lastModifiedBy>N Cumfer</cp:lastModifiedBy>
  <cp:revision>18</cp:revision>
  <dcterms:created xsi:type="dcterms:W3CDTF">2008-12-17T19:51:00Z</dcterms:created>
  <dcterms:modified xsi:type="dcterms:W3CDTF">2014-11-24T14:56:00Z</dcterms:modified>
</cp:coreProperties>
</file>