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A9A" w:rsidRDefault="00446D26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B2A9A" w:rsidRDefault="00446D26">
      <w:pPr>
        <w:widowControl w:val="0"/>
        <w:jc w:val="center"/>
      </w:pPr>
      <w:r>
        <w:t>118th Session, 2009-2010</w:t>
      </w:r>
    </w:p>
    <w:p w:rsidR="006B2A9A" w:rsidRDefault="006B2A9A">
      <w:pPr>
        <w:widowControl w:val="0"/>
        <w:jc w:val="left"/>
      </w:pPr>
    </w:p>
    <w:p w:rsidR="006B2A9A" w:rsidRDefault="00446D26">
      <w:pPr>
        <w:widowControl w:val="0"/>
        <w:jc w:val="left"/>
        <w:rPr>
          <w:b/>
        </w:rPr>
      </w:pPr>
      <w:r>
        <w:rPr>
          <w:b/>
        </w:rPr>
        <w:t>H. 3408</w:t>
      </w:r>
    </w:p>
    <w:p w:rsidR="006B2A9A" w:rsidRDefault="006B2A9A">
      <w:pPr>
        <w:widowControl w:val="0"/>
        <w:jc w:val="left"/>
        <w:rPr>
          <w:b/>
        </w:rPr>
      </w:pPr>
    </w:p>
    <w:p w:rsidR="006B2A9A" w:rsidRDefault="00446D26">
      <w:pPr>
        <w:widowControl w:val="0"/>
        <w:jc w:val="left"/>
      </w:pPr>
      <w:r>
        <w:rPr>
          <w:b/>
        </w:rPr>
        <w:t>STATUS INFORMATION</w:t>
      </w:r>
    </w:p>
    <w:p w:rsidR="006B2A9A" w:rsidRDefault="006B2A9A">
      <w:pPr>
        <w:widowControl w:val="0"/>
        <w:jc w:val="left"/>
      </w:pPr>
    </w:p>
    <w:p w:rsidR="006B2A9A" w:rsidRDefault="00446D26">
      <w:pPr>
        <w:widowControl w:val="0"/>
        <w:jc w:val="left"/>
      </w:pPr>
      <w:r>
        <w:t>General Bill</w:t>
      </w:r>
    </w:p>
    <w:p w:rsidR="006B2A9A" w:rsidRDefault="00446D26">
      <w:pPr>
        <w:widowControl w:val="0"/>
        <w:jc w:val="left"/>
      </w:pPr>
      <w:r>
        <w:t>Sponsors: Rep. Chalk</w:t>
      </w:r>
    </w:p>
    <w:p w:rsidR="006B2A9A" w:rsidRDefault="00446D26">
      <w:pPr>
        <w:widowControl w:val="0"/>
        <w:jc w:val="left"/>
      </w:pPr>
      <w:r>
        <w:t>Document Path: l:\council\bills\gjk\20076sd09.docx</w:t>
      </w:r>
    </w:p>
    <w:p w:rsidR="006B2A9A" w:rsidRDefault="00446D26">
      <w:pPr>
        <w:widowControl w:val="0"/>
        <w:jc w:val="left"/>
      </w:pPr>
      <w:r>
        <w:t>Companion/Similar bill(s): 193, 194</w:t>
      </w:r>
    </w:p>
    <w:p w:rsidR="006B2A9A" w:rsidRDefault="006B2A9A">
      <w:pPr>
        <w:widowControl w:val="0"/>
        <w:jc w:val="left"/>
      </w:pPr>
    </w:p>
    <w:p w:rsidR="006B2A9A" w:rsidRDefault="00446D26">
      <w:pPr>
        <w:widowControl w:val="0"/>
        <w:jc w:val="left"/>
      </w:pPr>
      <w:r>
        <w:t>Introduced in the House on February 3, 2009</w:t>
      </w:r>
    </w:p>
    <w:p w:rsidR="006B2A9A" w:rsidRDefault="00446D26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6B2A9A" w:rsidRDefault="006B2A9A">
      <w:pPr>
        <w:widowControl w:val="0"/>
        <w:jc w:val="left"/>
      </w:pPr>
    </w:p>
    <w:p w:rsidR="006B2A9A" w:rsidRDefault="00446D26">
      <w:pPr>
        <w:widowControl w:val="0"/>
        <w:jc w:val="left"/>
      </w:pPr>
      <w:r>
        <w:t>Summary: Property tax</w:t>
      </w:r>
    </w:p>
    <w:p w:rsidR="006B2A9A" w:rsidRDefault="006B2A9A">
      <w:pPr>
        <w:widowControl w:val="0"/>
        <w:jc w:val="left"/>
      </w:pPr>
    </w:p>
    <w:p w:rsidR="006B2A9A" w:rsidRDefault="006B2A9A">
      <w:pPr>
        <w:widowControl w:val="0"/>
        <w:jc w:val="left"/>
      </w:pPr>
    </w:p>
    <w:p w:rsidR="006B2A9A" w:rsidRDefault="00446D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6B2A9A" w:rsidRDefault="006B2A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2A9A" w:rsidRDefault="00446D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6B2A9A" w:rsidRDefault="00446D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2/3/2009</w:t>
      </w:r>
      <w:r>
        <w:tab/>
        <w:t>House</w:t>
      </w:r>
      <w:r>
        <w:tab/>
        <w:t xml:space="preserve">Introduced and read first time </w:t>
      </w:r>
      <w:hyperlink r:id="rId7" w:history="1">
        <w:r w:rsidRPr="00AD10EA">
          <w:rPr>
            <w:rStyle w:val="Hyperlink"/>
          </w:rPr>
          <w:t>HJ</w:t>
        </w:r>
      </w:hyperlink>
      <w:r>
        <w:noBreakHyphen/>
        <w:t>6</w:t>
      </w:r>
    </w:p>
    <w:p w:rsidR="006B2A9A" w:rsidRDefault="00446D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AD10EA">
          <w:rPr>
            <w:rStyle w:val="Hyperlink"/>
          </w:rPr>
          <w:t>HJ</w:t>
        </w:r>
      </w:hyperlink>
      <w:r>
        <w:noBreakHyphen/>
        <w:t>7</w:t>
      </w:r>
    </w:p>
    <w:p w:rsidR="006B2A9A" w:rsidRDefault="006B2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A9A" w:rsidRDefault="006B2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A9A" w:rsidRDefault="00446D26">
      <w:pPr>
        <w:widowControl w:val="0"/>
        <w:jc w:val="left"/>
      </w:pPr>
      <w:r>
        <w:rPr>
          <w:b/>
        </w:rPr>
        <w:t>VERSIONS OF THIS BILL</w:t>
      </w:r>
    </w:p>
    <w:p w:rsidR="006B2A9A" w:rsidRDefault="006B2A9A">
      <w:pPr>
        <w:widowControl w:val="0"/>
        <w:jc w:val="left"/>
      </w:pPr>
    </w:p>
    <w:p w:rsidR="006B2A9A" w:rsidRDefault="006E13B8">
      <w:pPr>
        <w:widowControl w:val="0"/>
        <w:jc w:val="left"/>
      </w:pPr>
      <w:hyperlink r:id="rId9" w:history="1">
        <w:r w:rsidR="00446D26">
          <w:rPr>
            <w:rStyle w:val="Hyperlink"/>
          </w:rPr>
          <w:t>2/3/2009</w:t>
        </w:r>
      </w:hyperlink>
    </w:p>
    <w:p w:rsidR="006B2A9A" w:rsidRDefault="006B2A9A"/>
    <w:p w:rsidR="006B2A9A" w:rsidRDefault="006B2A9A">
      <w:pPr>
        <w:sectPr w:rsidR="006B2A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2A9A" w:rsidRDefault="006B2A9A">
      <w:pPr>
        <w:pStyle w:val="BillDots"/>
      </w:pPr>
    </w:p>
    <w:p w:rsidR="006B2A9A" w:rsidRDefault="006B2A9A">
      <w:pPr>
        <w:pStyle w:val="Numbersforbills"/>
      </w:pP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bookmarkStart w:id="3" w:name="titletop"/>
      <w:bookmarkEnd w:id="3"/>
      <w:r>
        <w:rPr>
          <w:rFonts w:eastAsia="Calibri"/>
          <w:szCs w:val="22"/>
        </w:rPr>
        <w:t>TO AMEND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220, AS AMENDED, CODE OF LAWS OF SOUTH CAROLINA, 1976, RELATING TO VALUATION AND CLASSIFICATION OF PROPERTY FOR PURPOSES OF THE PROPERTY TAX, SO AS TO PROVIDE THAT THE OWNER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OCCUPANT OF RESIDENTIAL PROPERTY QUALIFIES FOR THE FOUR PERCENT ASSESSMENT RATIO ALLOWED OWNER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OCCUPIED RESIDENTIAL PROPERTY, IF THE OWNER IS OTHERWISE QUALIFIED AND THE RESIDENCE IS NOT RENTED FOR MORE THAN NINETY DAYS A YEAR; TO ALLOW REFUNDS OR CREDITS TO OWNER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OCCUPANTS WHO QUALIFY FOR THE FOUR PERCENT ASSESSMENT RATIO DUE TO THE AMENDMENTS CONTAINED HEREIN; TO DELETE OTHER REFERENCES TO RENTAL OF THESE RESIDENCES; AND TO AMEND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54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240, RELATING TO DISCLOSURE OF RECORDS, REPORTS, AND RETURNS WITH THE DEPARTMENT OF REVENUE, SO AS TO PROVIDE THAT VERIFICATION THAT THE FEDERAL SCHEDULE E CONFORMS WITH THE SAME DOCUMENT REQUIRED BY A COUNTY ASSESSOR IS NOT PROHIBITED.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t>SECTION</w:t>
      </w:r>
      <w:r>
        <w:tab/>
        <w:t>1.</w:t>
      </w:r>
      <w:r>
        <w:tab/>
      </w:r>
      <w:r>
        <w:rPr>
          <w:rFonts w:eastAsia="Calibri"/>
          <w:szCs w:val="22"/>
        </w:rPr>
        <w:t>A.</w:t>
      </w:r>
      <w:r>
        <w:rPr>
          <w:rFonts w:eastAsia="Calibri"/>
          <w:szCs w:val="22"/>
        </w:rPr>
        <w:tab/>
        <w:t>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220(c)(2)(iv) of the 1976 Code is amended by adding a new paragraph before the last undesignated paragraph to read: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Theme="minorHAnsi"/>
          <w:szCs w:val="22"/>
        </w:rPr>
        <w:t>“</w:t>
      </w:r>
      <w:r>
        <w:rPr>
          <w:rFonts w:eastAsia="Calibri"/>
          <w:szCs w:val="22"/>
        </w:rPr>
        <w:t>If the owner or the owner</w:t>
      </w:r>
      <w:r>
        <w:rPr>
          <w:rFonts w:eastAsiaTheme="minorHAnsi"/>
          <w:szCs w:val="22"/>
        </w:rPr>
        <w:t>’</w:t>
      </w:r>
      <w:r>
        <w:rPr>
          <w:rFonts w:eastAsia="Calibri"/>
          <w:szCs w:val="22"/>
        </w:rPr>
        <w:t xml:space="preserve">s agent has made a proper certificate as required pursuant to this subitem and the owner is otherwise eligible, the owner is deemed to have met the burden of proof and </w:t>
      </w:r>
      <w:r>
        <w:rPr>
          <w:rFonts w:eastAsia="Calibri"/>
          <w:szCs w:val="22"/>
        </w:rPr>
        <w:lastRenderedPageBreak/>
        <w:t>is allowed the four percent assessment ratio allowed by this item, if the residence that is the subject of the application is not rented for more than ninety days in a calendar year.  The assessor may require a copy of Schedule E from the applicant</w:t>
      </w:r>
      <w:r>
        <w:rPr>
          <w:rFonts w:eastAsiaTheme="minorHAnsi"/>
          <w:szCs w:val="22"/>
        </w:rPr>
        <w:t>’</w:t>
      </w:r>
      <w:r>
        <w:rPr>
          <w:rFonts w:eastAsia="Calibri"/>
          <w:szCs w:val="22"/>
        </w:rPr>
        <w:t>s federal return for the applicable tax year.</w:t>
      </w:r>
      <w:r>
        <w:rPr>
          <w:rFonts w:eastAsiaTheme="minorHAnsi"/>
          <w:szCs w:val="22"/>
        </w:rPr>
        <w:t>”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6B2A9A" w:rsidRDefault="00446D26">
      <w:pPr>
        <w:tabs>
          <w:tab w:val="left" w:pos="36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>B.</w:t>
      </w:r>
      <w:r>
        <w:rPr>
          <w:rFonts w:eastAsia="Calibri"/>
          <w:szCs w:val="22"/>
        </w:rPr>
        <w:tab/>
        <w:t>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220(c) of the 1976 Code, as last amended by Act 145 of 2005, is further amended by deleting subitem (7) which reads: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Theme="minorHAnsi"/>
          <w:szCs w:val="22"/>
        </w:rPr>
        <w:t>“</w:t>
      </w:r>
      <w:r>
        <w:rPr>
          <w:rFonts w:eastAsia="Calibri"/>
          <w:szCs w:val="22"/>
        </w:rPr>
        <w:t>(7)</w:t>
      </w:r>
      <w:r>
        <w:rPr>
          <w:rFonts w:eastAsia="Calibri"/>
          <w:szCs w:val="22"/>
        </w:rPr>
        <w:tab/>
        <w:t>Notwithstanding any other provision of law, the owner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occupant of a legal residence is not disqualified from receiving the four percent assessment ratio allowed by this item, if the taxpayer</w:t>
      </w:r>
      <w:r>
        <w:rPr>
          <w:rFonts w:eastAsiaTheme="minorHAnsi"/>
          <w:szCs w:val="22"/>
        </w:rPr>
        <w:t>’</w:t>
      </w:r>
      <w:r>
        <w:rPr>
          <w:rFonts w:eastAsia="Calibri"/>
          <w:szCs w:val="22"/>
        </w:rPr>
        <w:t>s residence meets the requirements of Internal Revenue Code Section 280A(g) as defined in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6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40(A) and the taxpayer otherwise is eligible to receive the four percent assessment ratio.</w:t>
      </w:r>
      <w:r>
        <w:rPr>
          <w:rFonts w:eastAsiaTheme="minorHAnsi"/>
          <w:szCs w:val="22"/>
        </w:rPr>
        <w:t>”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6B2A9A" w:rsidRDefault="00446D26">
      <w:pPr>
        <w:tabs>
          <w:tab w:val="left" w:pos="36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>C.</w:t>
      </w:r>
      <w:r>
        <w:rPr>
          <w:rFonts w:eastAsia="Calibri"/>
          <w:szCs w:val="22"/>
        </w:rPr>
        <w:tab/>
        <w:t>The amendments to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220(c)(2) and (7) contained in this section apply for property tax years beginning after 2004.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>D.</w:t>
      </w: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A taxpayer allowed the four percent assessment ratio for property tax years subsequent to 2004, because of the amendments to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220(c), as contained in this section, instead of other provisions of law applicable for refunds of overpayments of property taxes, and upon application to the county assessor must either:</w:t>
      </w: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(1)</w:t>
      </w:r>
      <w:r>
        <w:rPr>
          <w:rFonts w:eastAsia="Calibri"/>
          <w:szCs w:val="22"/>
        </w:rPr>
        <w:tab/>
        <w:t>receive a refund of the overpayment, together with applicable interest or, at the taxpayer</w:t>
      </w:r>
      <w:r>
        <w:rPr>
          <w:rFonts w:eastAsiaTheme="minorHAnsi"/>
          <w:szCs w:val="22"/>
        </w:rPr>
        <w:t>’</w:t>
      </w:r>
      <w:r>
        <w:rPr>
          <w:rFonts w:eastAsia="Calibri"/>
          <w:szCs w:val="22"/>
        </w:rPr>
        <w:t>s election; or</w:t>
      </w: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(2)</w:t>
      </w:r>
      <w:r>
        <w:rPr>
          <w:rFonts w:eastAsia="Calibri"/>
          <w:szCs w:val="22"/>
        </w:rPr>
        <w:tab/>
        <w:t>be allowed a credit in the same amount as the refund pursuant to item (1) against future property taxes due on the residence.</w:t>
      </w: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  <w:t>A claim for refund made pursuant to this subsection before July 1, 2011, is deemed timely filed.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>SECTION</w:t>
      </w:r>
      <w:r>
        <w:rPr>
          <w:rFonts w:eastAsia="Calibri"/>
          <w:szCs w:val="22"/>
        </w:rPr>
        <w:tab/>
        <w:t>2.</w:t>
      </w:r>
      <w:r>
        <w:rPr>
          <w:rFonts w:eastAsia="Calibri"/>
          <w:szCs w:val="22"/>
        </w:rPr>
        <w:tab/>
        <w:t>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54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240(B) of the 1976 Code, as last amended by Act 116 of 2007, is further amended by adding an appropriately numbered item at the end to read: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Theme="minorHAnsi"/>
          <w:szCs w:val="22"/>
        </w:rPr>
        <w:t>“</w:t>
      </w:r>
      <w:r>
        <w:rPr>
          <w:rFonts w:eastAsia="Calibri"/>
          <w:szCs w:val="22"/>
        </w:rPr>
        <w:t>( )</w:t>
      </w:r>
      <w:r>
        <w:rPr>
          <w:rFonts w:eastAsia="Calibri"/>
          <w:szCs w:val="22"/>
        </w:rPr>
        <w:tab/>
        <w:t>verification that the federal Schedule E filed with the department is the same as the Schedule E required by the assessor pursuant to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220(c).</w:t>
      </w:r>
      <w:r>
        <w:rPr>
          <w:rFonts w:eastAsiaTheme="minorHAnsi"/>
          <w:szCs w:val="22"/>
        </w:rPr>
        <w:t>”</w:t>
      </w:r>
    </w:p>
    <w:p w:rsidR="006B2A9A" w:rsidRDefault="006B2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44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>SECTION</w:t>
      </w:r>
      <w:r>
        <w:rPr>
          <w:rFonts w:eastAsia="Calibri"/>
          <w:szCs w:val="22"/>
        </w:rPr>
        <w:tab/>
        <w:t>3.</w:t>
      </w:r>
      <w:r>
        <w:rPr>
          <w:rFonts w:eastAsia="Calibri"/>
          <w:szCs w:val="22"/>
        </w:rPr>
        <w:tab/>
        <w:t>Except where otherwise stated, this act takes effect upon approval by the Governor.</w:t>
      </w:r>
    </w:p>
    <w:p w:rsidR="006B2A9A" w:rsidRDefault="0044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B2A9A" w:rsidRDefault="006B2A9A">
      <w:pPr>
        <w:suppressAutoHyphens/>
      </w:pPr>
    </w:p>
    <w:sectPr w:rsidR="006B2A9A" w:rsidSect="006B2A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A9A" w:rsidRDefault="00446D26">
      <w:r>
        <w:separator/>
      </w:r>
    </w:p>
  </w:endnote>
  <w:endnote w:type="continuationSeparator" w:id="0">
    <w:p w:rsidR="006B2A9A" w:rsidRDefault="00446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BC1049-6CCA-4423-BAA3-464818481566}"/>
    <w:embedBold r:id="rId2" w:fontKey="{9F5CAACA-F3AF-4314-8215-7B01EA6875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D84052-A1E6-4A56-886B-3BC992ED17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601CD9-48FE-410A-83B7-9D24AE44B8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A9A" w:rsidRDefault="00446D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[3408]</w:t>
    </w:r>
    <w:r>
      <w:tab/>
    </w:r>
    <w:r w:rsidR="006E13B8">
      <w:fldChar w:fldCharType="begin"/>
    </w:r>
    <w:r w:rsidR="006E13B8">
      <w:instrText xml:space="preserve"> PAGE  \* MERGEFORMAT </w:instrText>
    </w:r>
    <w:r w:rsidR="006E13B8">
      <w:fldChar w:fldCharType="separate"/>
    </w:r>
    <w:r w:rsidR="006E13B8">
      <w:rPr>
        <w:noProof/>
      </w:rPr>
      <w:t>1</w:t>
    </w:r>
    <w:r w:rsidR="006E13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A9A" w:rsidRDefault="00446D26">
      <w:r>
        <w:separator/>
      </w:r>
    </w:p>
  </w:footnote>
  <w:footnote w:type="continuationSeparator" w:id="0">
    <w:p w:rsidR="006B2A9A" w:rsidRDefault="00446D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076SD09"/>
    <w:docVar w:name="CoverBillType" w:val="b"/>
    <w:docVar w:name="docpath" w:val="L:\Council\bills\GJK\20076SD09.DOCX"/>
    <w:docVar w:name="dvBillNumber" w:val="3408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6B2A9A"/>
    <w:rsid w:val="00446D26"/>
    <w:rsid w:val="006B2A9A"/>
    <w:rsid w:val="006E13B8"/>
    <w:rsid w:val="00747B27"/>
    <w:rsid w:val="00A5456D"/>
    <w:rsid w:val="00AD10EA"/>
    <w:rsid w:val="00DD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A85A950-B30F-4EEE-A5B3-DDC1352E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A9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2A9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2A9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B2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2A9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B2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A9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B2A9A"/>
  </w:style>
  <w:style w:type="character" w:styleId="LineNumber">
    <w:name w:val="line number"/>
    <w:basedOn w:val="DefaultParagraphFont"/>
    <w:uiPriority w:val="99"/>
    <w:semiHidden/>
    <w:unhideWhenUsed/>
    <w:rsid w:val="006B2A9A"/>
  </w:style>
  <w:style w:type="paragraph" w:customStyle="1" w:styleId="BillDots">
    <w:name w:val="Bill Dots"/>
    <w:basedOn w:val="Normal"/>
    <w:qFormat/>
    <w:rsid w:val="006B2A9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B2A9A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B2A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0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0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08_2009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DE63A-1E9E-4C41-9E89-AB7802F04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628</Words>
  <Characters>3282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3408: Property tax - South Carolina Legislature Online</dc:title>
  <dc:subject/>
  <dc:creator>GAYLE KUBALA</dc:creator>
  <cp:keywords/>
  <dc:description/>
  <cp:lastModifiedBy>N Cumfer</cp:lastModifiedBy>
  <cp:revision>9</cp:revision>
  <cp:lastPrinted>2009-02-02T19:30:00Z</cp:lastPrinted>
  <dcterms:created xsi:type="dcterms:W3CDTF">2009-02-03T17:50:00Z</dcterms:created>
  <dcterms:modified xsi:type="dcterms:W3CDTF">2014-11-24T16:06:00Z</dcterms:modified>
</cp:coreProperties>
</file>