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EA5" w:rsidRDefault="001C2E1D">
      <w:pPr>
        <w:widowControl w:val="0"/>
        <w:jc w:val="center"/>
      </w:pPr>
      <w:bookmarkStart w:id="0" w:name="_GoBack"/>
      <w:bookmarkEnd w:id="0"/>
      <w:r>
        <w:rPr>
          <w:b/>
        </w:rPr>
        <w:t>South Carolina General Assembly</w:t>
      </w:r>
    </w:p>
    <w:p w:rsidR="00895EA5" w:rsidRDefault="001C2E1D">
      <w:pPr>
        <w:widowControl w:val="0"/>
        <w:jc w:val="center"/>
      </w:pPr>
      <w:r>
        <w:t>118th Session, 2009-2010</w:t>
      </w:r>
    </w:p>
    <w:p w:rsidR="00895EA5" w:rsidRDefault="00895EA5">
      <w:pPr>
        <w:widowControl w:val="0"/>
      </w:pPr>
    </w:p>
    <w:p w:rsidR="00895EA5" w:rsidRDefault="001C2E1D">
      <w:pPr>
        <w:widowControl w:val="0"/>
        <w:rPr>
          <w:b/>
        </w:rPr>
      </w:pPr>
      <w:r>
        <w:rPr>
          <w:b/>
        </w:rPr>
        <w:t>S. 355</w:t>
      </w:r>
    </w:p>
    <w:p w:rsidR="00895EA5" w:rsidRDefault="00895EA5">
      <w:pPr>
        <w:widowControl w:val="0"/>
        <w:rPr>
          <w:b/>
        </w:rPr>
      </w:pPr>
    </w:p>
    <w:p w:rsidR="00895EA5" w:rsidRDefault="001C2E1D">
      <w:pPr>
        <w:widowControl w:val="0"/>
      </w:pPr>
      <w:r>
        <w:rPr>
          <w:b/>
        </w:rPr>
        <w:t>STATUS INFORMATION</w:t>
      </w:r>
    </w:p>
    <w:p w:rsidR="00895EA5" w:rsidRDefault="00895EA5">
      <w:pPr>
        <w:widowControl w:val="0"/>
      </w:pPr>
    </w:p>
    <w:p w:rsidR="00895EA5" w:rsidRDefault="001C2E1D">
      <w:pPr>
        <w:widowControl w:val="0"/>
      </w:pPr>
      <w:r>
        <w:t>General Bill</w:t>
      </w:r>
    </w:p>
    <w:p w:rsidR="00895EA5" w:rsidRDefault="001C2E1D">
      <w:pPr>
        <w:widowControl w:val="0"/>
      </w:pPr>
      <w:r>
        <w:t>Sponsors: Senators Lourie, Setzler, Jackson, Ford, Sheheen, Land, McGill, Scott and Pinckney</w:t>
      </w:r>
    </w:p>
    <w:p w:rsidR="00895EA5" w:rsidRDefault="001C2E1D">
      <w:pPr>
        <w:widowControl w:val="0"/>
      </w:pPr>
      <w:r>
        <w:t>Document Path: l:\s-resmin\drafting\jl\004sate.tcm.jl.docx</w:t>
      </w:r>
    </w:p>
    <w:p w:rsidR="00895EA5" w:rsidRDefault="00895EA5">
      <w:pPr>
        <w:widowControl w:val="0"/>
      </w:pPr>
    </w:p>
    <w:p w:rsidR="00895EA5" w:rsidRDefault="001C2E1D">
      <w:pPr>
        <w:widowControl w:val="0"/>
      </w:pPr>
      <w:r>
        <w:t>Introduced in the Senate on January 29, 2009</w:t>
      </w:r>
    </w:p>
    <w:p w:rsidR="00895EA5" w:rsidRDefault="001C2E1D">
      <w:pPr>
        <w:widowControl w:val="0"/>
      </w:pPr>
      <w:r>
        <w:t xml:space="preserve">Currently residing in the Senate Committee on </w:t>
      </w:r>
      <w:r>
        <w:rPr>
          <w:b/>
        </w:rPr>
        <w:t>Judiciary</w:t>
      </w:r>
    </w:p>
    <w:p w:rsidR="00895EA5" w:rsidRDefault="00895EA5">
      <w:pPr>
        <w:widowControl w:val="0"/>
      </w:pPr>
    </w:p>
    <w:p w:rsidR="00895EA5" w:rsidRDefault="001C2E1D">
      <w:pPr>
        <w:widowControl w:val="0"/>
      </w:pPr>
      <w:r>
        <w:t>Summary: Absentee voting precincts</w:t>
      </w:r>
    </w:p>
    <w:p w:rsidR="00895EA5" w:rsidRDefault="00895EA5">
      <w:pPr>
        <w:widowControl w:val="0"/>
      </w:pPr>
    </w:p>
    <w:p w:rsidR="00895EA5" w:rsidRDefault="00895EA5">
      <w:pPr>
        <w:widowControl w:val="0"/>
      </w:pPr>
    </w:p>
    <w:p w:rsidR="00895EA5" w:rsidRDefault="001C2E1D">
      <w:pPr>
        <w:widowControl w:val="0"/>
        <w:tabs>
          <w:tab w:val="center" w:pos="590"/>
          <w:tab w:val="center" w:pos="1440"/>
          <w:tab w:val="left" w:pos="1872"/>
          <w:tab w:val="left" w:pos="9187"/>
        </w:tabs>
      </w:pPr>
      <w:r>
        <w:rPr>
          <w:b/>
        </w:rPr>
        <w:t>HISTORY OF LEGISLATIVE ACTIONS</w:t>
      </w:r>
    </w:p>
    <w:p w:rsidR="00895EA5" w:rsidRDefault="00895EA5">
      <w:pPr>
        <w:widowControl w:val="0"/>
        <w:tabs>
          <w:tab w:val="center" w:pos="590"/>
          <w:tab w:val="center" w:pos="1440"/>
          <w:tab w:val="left" w:pos="1872"/>
          <w:tab w:val="left" w:pos="9187"/>
        </w:tabs>
      </w:pPr>
    </w:p>
    <w:p w:rsidR="00895EA5" w:rsidRDefault="001C2E1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95EA5" w:rsidRDefault="001C2E1D">
      <w:pPr>
        <w:widowControl w:val="0"/>
        <w:tabs>
          <w:tab w:val="right" w:pos="1008"/>
          <w:tab w:val="left" w:pos="1152"/>
          <w:tab w:val="left" w:pos="1872"/>
          <w:tab w:val="left" w:pos="9187"/>
        </w:tabs>
        <w:ind w:left="2088" w:hanging="2088"/>
      </w:pPr>
      <w:r>
        <w:tab/>
        <w:t>1/29/2009</w:t>
      </w:r>
      <w:r>
        <w:tab/>
        <w:t>Senate</w:t>
      </w:r>
      <w:r>
        <w:tab/>
        <w:t xml:space="preserve">Introduced and read first time </w:t>
      </w:r>
      <w:hyperlink r:id="rId6" w:history="1">
        <w:r w:rsidRPr="00487F02">
          <w:rPr>
            <w:rStyle w:val="Hyperlink"/>
          </w:rPr>
          <w:t>SJ</w:t>
        </w:r>
      </w:hyperlink>
      <w:r>
        <w:noBreakHyphen/>
        <w:t>11</w:t>
      </w:r>
    </w:p>
    <w:p w:rsidR="00895EA5" w:rsidRDefault="001C2E1D">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Judiciary</w:t>
      </w:r>
      <w:r>
        <w:t xml:space="preserve"> </w:t>
      </w:r>
      <w:hyperlink r:id="rId7" w:history="1">
        <w:r w:rsidRPr="00487F02">
          <w:rPr>
            <w:rStyle w:val="Hyperlink"/>
          </w:rPr>
          <w:t>SJ</w:t>
        </w:r>
      </w:hyperlink>
      <w:r>
        <w:noBreakHyphen/>
        <w:t>11</w:t>
      </w:r>
    </w:p>
    <w:p w:rsidR="00895EA5" w:rsidRDefault="001C2E1D">
      <w:pPr>
        <w:widowControl w:val="0"/>
        <w:tabs>
          <w:tab w:val="right" w:pos="1008"/>
          <w:tab w:val="left" w:pos="1152"/>
          <w:tab w:val="left" w:pos="1872"/>
          <w:tab w:val="left" w:pos="9187"/>
        </w:tabs>
        <w:ind w:left="2088" w:hanging="2088"/>
      </w:pPr>
      <w:r>
        <w:tab/>
        <w:t>2/2/2009</w:t>
      </w:r>
      <w:r>
        <w:tab/>
        <w:t>Senate</w:t>
      </w:r>
      <w:r>
        <w:tab/>
        <w:t>Referred to Subcommittee: Campsen (ch), Cleary, Scott</w:t>
      </w:r>
    </w:p>
    <w:p w:rsidR="00895EA5" w:rsidRDefault="00895EA5">
      <w:pPr>
        <w:widowControl w:val="0"/>
        <w:tabs>
          <w:tab w:val="right" w:pos="1008"/>
          <w:tab w:val="left" w:pos="1152"/>
          <w:tab w:val="left" w:pos="1872"/>
          <w:tab w:val="left" w:pos="9187"/>
        </w:tabs>
        <w:ind w:left="2088" w:hanging="2088"/>
      </w:pPr>
    </w:p>
    <w:p w:rsidR="00895EA5" w:rsidRDefault="00895EA5">
      <w:pPr>
        <w:widowControl w:val="0"/>
        <w:tabs>
          <w:tab w:val="right" w:pos="1008"/>
          <w:tab w:val="left" w:pos="1152"/>
          <w:tab w:val="left" w:pos="1872"/>
          <w:tab w:val="left" w:pos="9187"/>
        </w:tabs>
        <w:ind w:left="2088" w:hanging="2088"/>
      </w:pPr>
    </w:p>
    <w:p w:rsidR="00895EA5" w:rsidRDefault="001C2E1D">
      <w:pPr>
        <w:widowControl w:val="0"/>
      </w:pPr>
      <w:r>
        <w:rPr>
          <w:b/>
        </w:rPr>
        <w:t>VERSIONS OF THIS BILL</w:t>
      </w:r>
    </w:p>
    <w:p w:rsidR="00895EA5" w:rsidRDefault="00895EA5">
      <w:pPr>
        <w:widowControl w:val="0"/>
      </w:pPr>
    </w:p>
    <w:p w:rsidR="00895EA5" w:rsidRDefault="002213BE">
      <w:pPr>
        <w:widowControl w:val="0"/>
      </w:pPr>
      <w:hyperlink r:id="rId8" w:history="1">
        <w:r w:rsidR="001C2E1D">
          <w:rPr>
            <w:rStyle w:val="Hyperlink"/>
          </w:rPr>
          <w:t>1/29/2009</w:t>
        </w:r>
      </w:hyperlink>
    </w:p>
    <w:p w:rsidR="00895EA5" w:rsidRDefault="00895EA5"/>
    <w:p w:rsidR="00895EA5" w:rsidRDefault="00895EA5">
      <w:pPr>
        <w:sectPr w:rsidR="00895EA5">
          <w:pgSz w:w="12240" w:h="15840" w:code="1"/>
          <w:pgMar w:top="1080" w:right="1440" w:bottom="1080" w:left="1440" w:header="720" w:footer="720" w:gutter="0"/>
          <w:cols w:space="720"/>
          <w:noEndnote/>
          <w:docGrid w:linePitch="360"/>
        </w:sect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w:t>
      </w:r>
      <w:r>
        <w:rPr>
          <w:rFonts w:eastAsia="Times New Roman"/>
        </w:rPr>
        <w:noBreakHyphen/>
        <w:t>15</w:t>
      </w:r>
      <w:r>
        <w:rPr>
          <w:rFonts w:eastAsia="Times New Roman"/>
        </w:rPr>
        <w:noBreakHyphen/>
        <w:t>410 OF THE 1976 CODE, RELATING TO ABSENTEE VOTING PRECINCTS, TO REQUIRE THE ESTABLISHMENT OF ONE ABSENTEE VOTING PRECINCT PER 100,000 PEOPLE IN A COUNTY, TO DIRECT THE FACTORS FOR CONSIDERATION IN CHOOSING THE LOCATION OF SUCH PRECINCTS, AND TO DIRECT THE TIME OF OPERATION FOR SUCH PRECINCTS.</w:t>
      </w: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w:t>
      </w:r>
      <w:r>
        <w:rPr>
          <w:rFonts w:eastAsia="Times New Roman"/>
        </w:rPr>
        <w:noBreakHyphen/>
        <w:t>15</w:t>
      </w:r>
      <w:r>
        <w:rPr>
          <w:rFonts w:eastAsia="Times New Roman"/>
        </w:rPr>
        <w:noBreakHyphen/>
        <w:t>410 of the 1976 Code is amended to read:</w:t>
      </w: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15</w:t>
      </w:r>
      <w:r>
        <w:noBreakHyphen/>
        <w:t xml:space="preserve">410. </w:t>
      </w:r>
      <w:r>
        <w:rPr>
          <w:u w:val="single"/>
        </w:rPr>
        <w:t>(A)</w:t>
      </w:r>
      <w:r>
        <w:tab/>
        <w:t>In each county there must be established an absentee voting precinct located in the office of the county board of registration.  The county election commission, municipal election commission, county committee for each political party, or executive committee of each municipal party in the case of primary elections is responsible for the tabulation and reporting of ballots at the absentee voting precinct.  The absentee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noBreakHyphen/>
        <w:t>15</w:t>
      </w:r>
      <w:r>
        <w:noBreakHyphen/>
        <w:t>420.</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 xml:space="preserve">During any year in which there is a general election, each county with a population of more than 100,000 must establish a separate absentee voting precinct office for each group of 100,000 people in the total populace of the county.  In setting the location </w:t>
      </w:r>
      <w:r>
        <w:rPr>
          <w:u w:val="single"/>
        </w:rPr>
        <w:lastRenderedPageBreak/>
        <w:t>of each absentee voting precinct office,</w:t>
      </w:r>
      <w:r>
        <w:rPr>
          <w:rFonts w:eastAsia="Times New Roman"/>
          <w:u w:val="single"/>
        </w:rPr>
        <w:t xml:space="preserve"> the factors to be considered by </w:t>
      </w:r>
      <w:r>
        <w:rPr>
          <w:u w:val="single"/>
        </w:rPr>
        <w:t xml:space="preserve">the county election commission </w:t>
      </w:r>
      <w:r>
        <w:rPr>
          <w:rFonts w:eastAsia="Times New Roman"/>
          <w:u w:val="single"/>
        </w:rPr>
        <w:t>shall include, but not be limited to:</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(1)</w:t>
      </w:r>
      <w:r>
        <w:tab/>
      </w:r>
      <w:r>
        <w:rPr>
          <w:u w:val="single"/>
        </w:rPr>
        <w:t>geographical position;</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(2)</w:t>
      </w:r>
      <w:r>
        <w:tab/>
      </w:r>
      <w:r>
        <w:rPr>
          <w:u w:val="single"/>
        </w:rPr>
        <w:t>population density;</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(3)</w:t>
      </w:r>
      <w:r>
        <w:tab/>
      </w:r>
      <w:r>
        <w:rPr>
          <w:u w:val="single"/>
        </w:rPr>
        <w:t>availability of parking;</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Pr>
          <w:u w:val="single"/>
        </w:rPr>
        <w:t>(4)</w:t>
      </w:r>
      <w:r>
        <w:tab/>
      </w:r>
      <w:r>
        <w:rPr>
          <w:u w:val="single"/>
        </w:rPr>
        <w:t xml:space="preserve">general accessibility; and </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Pr>
          <w:u w:val="single"/>
        </w:rPr>
        <w:t>(5)</w:t>
      </w:r>
      <w:r>
        <w:tab/>
      </w:r>
      <w:r>
        <w:rPr>
          <w:u w:val="single"/>
        </w:rPr>
        <w:t>the potential to co</w:t>
      </w:r>
      <w:r>
        <w:rPr>
          <w:u w:val="single"/>
        </w:rPr>
        <w:noBreakHyphen/>
        <w:t>locate with other existing county offices.</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u w:val="single"/>
        </w:rPr>
        <w:t>Each absentee voting precinct office must be open for absentee voting during normal business hours not later than two weeks prior to the general election.</w:t>
      </w:r>
      <w:r>
        <w:t>”</w:t>
      </w:r>
    </w:p>
    <w:p w:rsidR="00895EA5" w:rsidRDefault="0089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95EA5" w:rsidRDefault="001C2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5EA5" w:rsidRDefault="00895EA5">
      <w:pPr>
        <w:suppressAutoHyphens/>
        <w:jc w:val="both"/>
        <w:rPr>
          <w:rFonts w:eastAsia="Times New Roman"/>
        </w:rPr>
      </w:pPr>
    </w:p>
    <w:sectPr w:rsidR="00895EA5" w:rsidSect="00895EA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EA5" w:rsidRDefault="001C2E1D">
      <w:r>
        <w:separator/>
      </w:r>
    </w:p>
  </w:endnote>
  <w:endnote w:type="continuationSeparator" w:id="0">
    <w:p w:rsidR="00895EA5" w:rsidRDefault="001C2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909765-579B-45CC-A147-54E85CD6A673}"/>
    <w:embedBold r:id="rId2" w:fontKey="{BDA03199-B573-46AB-A9C0-9F78FA813B6F}"/>
  </w:font>
  <w:font w:name="Calibri">
    <w:panose1 w:val="020F0502020204030204"/>
    <w:charset w:val="00"/>
    <w:family w:val="swiss"/>
    <w:pitch w:val="variable"/>
    <w:sig w:usb0="E10002FF" w:usb1="4000ACFF" w:usb2="00000009" w:usb3="00000000" w:csb0="0000019F" w:csb1="00000000"/>
    <w:embedRegular r:id="rId3" w:fontKey="{5BA65BC7-4027-4612-BCA2-9E5B5B1FE776}"/>
    <w:embedBold r:id="rId4" w:fontKey="{A20710A6-F5CD-43DD-94E7-A4AA57DCF679}"/>
  </w:font>
  <w:font w:name="Cambria">
    <w:panose1 w:val="02040503050406030204"/>
    <w:charset w:val="00"/>
    <w:family w:val="roman"/>
    <w:pitch w:val="variable"/>
    <w:sig w:usb0="E00002FF" w:usb1="400004FF" w:usb2="00000000" w:usb3="00000000" w:csb0="0000019F" w:csb1="00000000"/>
    <w:embedRegular r:id="rId5" w:fontKey="{1CC11AAF-0406-4FDE-B7A8-0D2D71E325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EA5" w:rsidRDefault="001C2E1D">
    <w:pPr>
      <w:pStyle w:val="Footer"/>
      <w:tabs>
        <w:tab w:val="clear" w:pos="4680"/>
        <w:tab w:val="clear" w:pos="9360"/>
        <w:tab w:val="center" w:pos="2995"/>
      </w:tabs>
      <w:spacing w:before="120"/>
    </w:pPr>
    <w:r>
      <w:t>[355]</w:t>
    </w:r>
    <w:r>
      <w:tab/>
    </w:r>
    <w:r w:rsidR="002213BE">
      <w:fldChar w:fldCharType="begin"/>
    </w:r>
    <w:r w:rsidR="002213BE">
      <w:instrText xml:space="preserve"> PAGE  \* MERGEFORMAT </w:instrText>
    </w:r>
    <w:r w:rsidR="002213BE">
      <w:fldChar w:fldCharType="separate"/>
    </w:r>
    <w:r w:rsidR="002213BE">
      <w:rPr>
        <w:noProof/>
      </w:rPr>
      <w:t>1</w:t>
    </w:r>
    <w:r w:rsidR="002213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EA5" w:rsidRDefault="001C2E1D">
      <w:r>
        <w:separator/>
      </w:r>
    </w:p>
  </w:footnote>
  <w:footnote w:type="continuationSeparator" w:id="0">
    <w:p w:rsidR="00895EA5" w:rsidRDefault="001C2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4SATE.TCM.JL"/>
    <w:docVar w:name="CoverAttorneyInitials" w:val="TCM"/>
    <w:docVar w:name="CoverAttorneyLastName" w:val="Miles"/>
    <w:docVar w:name="CoverBillType" w:val="b"/>
    <w:docVar w:name="CoverSenator" w:val="JL"/>
    <w:docVar w:name="dvBillNumber" w:val="355"/>
    <w:docVar w:name="dvBillNumberPrefix" w:val="S. "/>
    <w:docVar w:name="dvOriginalBody" w:val="Senate"/>
    <w:docVar w:name="fulldraftpath" w:val="L:\S-RESMIN\DRAFTING\JL\004SATE.TCM.JL.DOCX"/>
    <w:docVar w:name="NameofBody" w:val="S"/>
    <w:docVar w:name="vgroup2" w:val="S-RESMIN"/>
  </w:docVars>
  <w:rsids>
    <w:rsidRoot w:val="00895EA5"/>
    <w:rsid w:val="0010725A"/>
    <w:rsid w:val="001C2E1D"/>
    <w:rsid w:val="002213BE"/>
    <w:rsid w:val="00231D0E"/>
    <w:rsid w:val="00487F02"/>
    <w:rsid w:val="00895EA5"/>
    <w:rsid w:val="00D1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467C4EE-E3F0-487F-B099-EE5E177F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E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95EA5"/>
    <w:pPr>
      <w:tabs>
        <w:tab w:val="center" w:pos="4680"/>
        <w:tab w:val="right" w:pos="9360"/>
      </w:tabs>
    </w:pPr>
  </w:style>
  <w:style w:type="character" w:customStyle="1" w:styleId="FooterChar">
    <w:name w:val="Footer Char"/>
    <w:basedOn w:val="DefaultParagraphFont"/>
    <w:link w:val="Footer"/>
    <w:uiPriority w:val="99"/>
    <w:semiHidden/>
    <w:rsid w:val="00895EA5"/>
  </w:style>
  <w:style w:type="character" w:styleId="PageNumber">
    <w:name w:val="page number"/>
    <w:basedOn w:val="DefaultParagraphFont"/>
    <w:uiPriority w:val="99"/>
    <w:semiHidden/>
    <w:unhideWhenUsed/>
    <w:rsid w:val="00895EA5"/>
  </w:style>
  <w:style w:type="character" w:styleId="LineNumber">
    <w:name w:val="line number"/>
    <w:basedOn w:val="DefaultParagraphFont"/>
    <w:uiPriority w:val="99"/>
    <w:semiHidden/>
    <w:unhideWhenUsed/>
    <w:rsid w:val="00895EA5"/>
  </w:style>
  <w:style w:type="paragraph" w:styleId="Header">
    <w:name w:val="header"/>
    <w:basedOn w:val="Normal"/>
    <w:link w:val="HeaderChar"/>
    <w:uiPriority w:val="99"/>
    <w:semiHidden/>
    <w:unhideWhenUsed/>
    <w:rsid w:val="00895EA5"/>
    <w:pPr>
      <w:tabs>
        <w:tab w:val="center" w:pos="4680"/>
        <w:tab w:val="right" w:pos="9360"/>
      </w:tabs>
    </w:pPr>
  </w:style>
  <w:style w:type="character" w:customStyle="1" w:styleId="HeaderChar">
    <w:name w:val="Header Char"/>
    <w:basedOn w:val="DefaultParagraphFont"/>
    <w:link w:val="Header"/>
    <w:uiPriority w:val="99"/>
    <w:semiHidden/>
    <w:rsid w:val="00895EA5"/>
  </w:style>
  <w:style w:type="paragraph" w:customStyle="1" w:styleId="BillDots">
    <w:name w:val="BillDots"/>
    <w:basedOn w:val="Normal"/>
    <w:qFormat/>
    <w:rsid w:val="00895EA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95EA5"/>
    <w:pPr>
      <w:tabs>
        <w:tab w:val="right" w:pos="5904"/>
      </w:tabs>
    </w:pPr>
  </w:style>
  <w:style w:type="character" w:styleId="Hyperlink">
    <w:name w:val="Hyperlink"/>
    <w:basedOn w:val="DefaultParagraphFont"/>
    <w:uiPriority w:val="99"/>
    <w:unhideWhenUsed/>
    <w:rsid w:val="00895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5_20090129.docx" TargetMode="Externa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412</Words>
  <Characters>2309</Characters>
  <Application>Microsoft Office Word</Application>
  <DocSecurity>0</DocSecurity>
  <Lines>87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 Absentee voting precincts - South Carolina Legislature Online</dc:title>
  <dc:subject/>
  <dc:creator>TEMMILES</dc:creator>
  <cp:keywords/>
  <dc:description/>
  <cp:lastModifiedBy>N Cumfer</cp:lastModifiedBy>
  <cp:revision>10</cp:revision>
  <cp:lastPrinted>2009-01-12T19:08:00Z</cp:lastPrinted>
  <dcterms:created xsi:type="dcterms:W3CDTF">2009-01-29T17:22:00Z</dcterms:created>
  <dcterms:modified xsi:type="dcterms:W3CDTF">2014-11-24T14:58:00Z</dcterms:modified>
</cp:coreProperties>
</file>