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3798</w:t>
      </w: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36F32" w:rsidRDefault="00C279C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Bannister, Harrison, King and Jennings</w:t>
      </w: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l:\council\bills\ms\7201ahb09.docx</w:t>
      </w: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7195" w:rsidRDefault="00C671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26, 2009</w:t>
      </w:r>
    </w:p>
    <w:p w:rsidR="00C67195" w:rsidRPr="00C67195" w:rsidRDefault="00C671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C67195">
        <w:rPr>
          <w:b/>
        </w:rPr>
        <w:t>Judiciary</w:t>
      </w:r>
    </w:p>
    <w:p w:rsidR="00C67195" w:rsidRDefault="00C671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Bond</w:t>
      </w: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6F32" w:rsidRDefault="00041138">
      <w:pPr>
        <w:widowControl w:val="0"/>
        <w:tabs>
          <w:tab w:val="center" w:pos="590"/>
          <w:tab w:val="center" w:pos="1440"/>
          <w:tab w:val="left" w:pos="1872"/>
          <w:tab w:val="left" w:pos="9187"/>
        </w:tabs>
        <w:jc w:val="left"/>
      </w:pPr>
      <w:r>
        <w:rPr>
          <w:b/>
        </w:rPr>
        <w:t>HISTORY OF LEGISLATIVE ACTIONS</w:t>
      </w:r>
    </w:p>
    <w:p w:rsidR="00D36F32" w:rsidRDefault="00D36F32">
      <w:pPr>
        <w:widowControl w:val="0"/>
        <w:tabs>
          <w:tab w:val="center" w:pos="590"/>
          <w:tab w:val="center" w:pos="1440"/>
          <w:tab w:val="left" w:pos="1872"/>
          <w:tab w:val="left" w:pos="9187"/>
        </w:tabs>
        <w:jc w:val="left"/>
      </w:pPr>
    </w:p>
    <w:p w:rsidR="00D36F32" w:rsidRDefault="0004113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279C1" w:rsidRDefault="00C279C1" w:rsidP="00C279C1">
      <w:pPr>
        <w:widowControl w:val="0"/>
        <w:tabs>
          <w:tab w:val="right" w:pos="1008"/>
          <w:tab w:val="left" w:pos="1152"/>
          <w:tab w:val="left" w:pos="1872"/>
          <w:tab w:val="left" w:pos="9187"/>
        </w:tabs>
        <w:ind w:left="2088" w:hanging="2088"/>
        <w:jc w:val="left"/>
      </w:pPr>
      <w:r>
        <w:tab/>
        <w:t>3/26/2009</w:t>
      </w:r>
      <w:r>
        <w:tab/>
        <w:t>House</w:t>
      </w:r>
      <w:r>
        <w:tab/>
      </w:r>
      <w:r w:rsidRPr="00A0766F">
        <w:t xml:space="preserve">Introduced and read first time </w:t>
      </w:r>
      <w:hyperlink r:id="rId7" w:history="1">
        <w:r w:rsidRPr="00963513">
          <w:rPr>
            <w:rStyle w:val="Hyperlink"/>
          </w:rPr>
          <w:t>HJ</w:t>
        </w:r>
      </w:hyperlink>
      <w:r>
        <w:noBreakHyphen/>
      </w:r>
      <w:r w:rsidRPr="00A0766F">
        <w:t>8</w:t>
      </w:r>
    </w:p>
    <w:p w:rsidR="00C279C1" w:rsidRDefault="00C279C1" w:rsidP="00C279C1">
      <w:pPr>
        <w:widowControl w:val="0"/>
        <w:tabs>
          <w:tab w:val="right" w:pos="1008"/>
          <w:tab w:val="left" w:pos="1152"/>
          <w:tab w:val="left" w:pos="1872"/>
          <w:tab w:val="left" w:pos="9187"/>
        </w:tabs>
        <w:ind w:left="2088" w:hanging="2088"/>
        <w:jc w:val="left"/>
      </w:pPr>
      <w:r>
        <w:tab/>
        <w:t>3/26/2009</w:t>
      </w:r>
      <w:r>
        <w:tab/>
        <w:t>House</w:t>
      </w:r>
      <w:r>
        <w:tab/>
      </w:r>
      <w:r w:rsidRPr="00A0766F">
        <w:t xml:space="preserve">Referred to Committee on </w:t>
      </w:r>
      <w:r w:rsidRPr="00A0766F">
        <w:rPr>
          <w:b/>
        </w:rPr>
        <w:t>Judiciary</w:t>
      </w:r>
      <w:r w:rsidRPr="00A0766F">
        <w:t xml:space="preserve"> </w:t>
      </w:r>
      <w:hyperlink r:id="rId8" w:history="1">
        <w:r w:rsidRPr="00963513">
          <w:rPr>
            <w:rStyle w:val="Hyperlink"/>
          </w:rPr>
          <w:t>HJ</w:t>
        </w:r>
      </w:hyperlink>
      <w:r>
        <w:noBreakHyphen/>
      </w:r>
      <w:r w:rsidRPr="00A0766F">
        <w:t>8</w:t>
      </w:r>
    </w:p>
    <w:p w:rsidR="00C279C1" w:rsidRDefault="00C279C1" w:rsidP="00C279C1">
      <w:pPr>
        <w:widowControl w:val="0"/>
        <w:tabs>
          <w:tab w:val="right" w:pos="1008"/>
          <w:tab w:val="left" w:pos="1152"/>
          <w:tab w:val="left" w:pos="1872"/>
          <w:tab w:val="left" w:pos="9187"/>
        </w:tabs>
        <w:ind w:left="2088" w:hanging="2088"/>
        <w:jc w:val="left"/>
      </w:pPr>
      <w:r>
        <w:tab/>
        <w:t>5/14/2009</w:t>
      </w:r>
      <w:r>
        <w:tab/>
        <w:t>House</w:t>
      </w:r>
      <w:r>
        <w:tab/>
      </w:r>
      <w:r w:rsidRPr="00A0766F">
        <w:t>Member(s) request name added as sponsor: King</w:t>
      </w:r>
    </w:p>
    <w:p w:rsidR="00C279C1" w:rsidRDefault="00C279C1" w:rsidP="00C279C1">
      <w:pPr>
        <w:widowControl w:val="0"/>
        <w:tabs>
          <w:tab w:val="right" w:pos="1008"/>
          <w:tab w:val="left" w:pos="1152"/>
          <w:tab w:val="left" w:pos="1872"/>
          <w:tab w:val="left" w:pos="9187"/>
        </w:tabs>
        <w:ind w:left="2088" w:hanging="2088"/>
        <w:jc w:val="left"/>
      </w:pPr>
      <w:r>
        <w:tab/>
        <w:t>5/14/2009</w:t>
      </w:r>
      <w:r>
        <w:tab/>
        <w:t>House</w:t>
      </w:r>
      <w:r>
        <w:tab/>
      </w:r>
      <w:r w:rsidRPr="00A0766F">
        <w:t xml:space="preserve">Recalled from Committee on </w:t>
      </w:r>
      <w:r w:rsidRPr="00A0766F">
        <w:rPr>
          <w:b/>
        </w:rPr>
        <w:t>Judiciary</w:t>
      </w:r>
      <w:r w:rsidRPr="00A0766F">
        <w:t xml:space="preserve"> </w:t>
      </w:r>
      <w:hyperlink r:id="rId9" w:history="1">
        <w:r w:rsidRPr="00963513">
          <w:rPr>
            <w:rStyle w:val="Hyperlink"/>
          </w:rPr>
          <w:t>HJ</w:t>
        </w:r>
      </w:hyperlink>
      <w:r>
        <w:noBreakHyphen/>
      </w:r>
      <w:r w:rsidRPr="00A0766F">
        <w:t>66</w:t>
      </w:r>
    </w:p>
    <w:p w:rsidR="00C279C1" w:rsidRDefault="00C279C1" w:rsidP="00C279C1">
      <w:pPr>
        <w:widowControl w:val="0"/>
        <w:tabs>
          <w:tab w:val="right" w:pos="1008"/>
          <w:tab w:val="left" w:pos="1152"/>
          <w:tab w:val="left" w:pos="1872"/>
          <w:tab w:val="left" w:pos="9187"/>
        </w:tabs>
        <w:ind w:left="2088" w:hanging="2088"/>
        <w:jc w:val="left"/>
      </w:pPr>
      <w:r>
        <w:tab/>
        <w:t>5/20/2009</w:t>
      </w:r>
      <w:r>
        <w:tab/>
        <w:t>House</w:t>
      </w:r>
      <w:r>
        <w:tab/>
      </w:r>
      <w:r w:rsidRPr="00A0766F">
        <w:t xml:space="preserve">Debate adjourned </w:t>
      </w:r>
      <w:hyperlink r:id="rId10" w:history="1">
        <w:r w:rsidRPr="00963513">
          <w:rPr>
            <w:rStyle w:val="Hyperlink"/>
          </w:rPr>
          <w:t>HJ</w:t>
        </w:r>
      </w:hyperlink>
      <w:r>
        <w:noBreakHyphen/>
      </w:r>
      <w:r w:rsidRPr="00A0766F">
        <w:t>28</w:t>
      </w:r>
    </w:p>
    <w:p w:rsidR="00C279C1" w:rsidRDefault="00C279C1" w:rsidP="00C279C1">
      <w:pPr>
        <w:widowControl w:val="0"/>
        <w:tabs>
          <w:tab w:val="right" w:pos="1008"/>
          <w:tab w:val="left" w:pos="1152"/>
          <w:tab w:val="left" w:pos="1872"/>
          <w:tab w:val="left" w:pos="9187"/>
        </w:tabs>
        <w:ind w:left="2088" w:hanging="2088"/>
        <w:jc w:val="left"/>
      </w:pPr>
      <w:r>
        <w:tab/>
        <w:t>5/21/2009</w:t>
      </w:r>
      <w:r>
        <w:tab/>
        <w:t>House</w:t>
      </w:r>
      <w:r>
        <w:tab/>
      </w:r>
      <w:r w:rsidRPr="00A0766F">
        <w:t xml:space="preserve">Debate adjourned until Friday, May 22, 2009 </w:t>
      </w:r>
      <w:hyperlink r:id="rId11" w:history="1">
        <w:r w:rsidRPr="00963513">
          <w:rPr>
            <w:rStyle w:val="Hyperlink"/>
          </w:rPr>
          <w:t>HJ</w:t>
        </w:r>
      </w:hyperlink>
      <w:r>
        <w:noBreakHyphen/>
      </w:r>
      <w:r w:rsidRPr="00A0766F">
        <w:t>16</w:t>
      </w:r>
    </w:p>
    <w:p w:rsidR="00C279C1" w:rsidRDefault="00C279C1" w:rsidP="00C279C1">
      <w:pPr>
        <w:widowControl w:val="0"/>
        <w:tabs>
          <w:tab w:val="right" w:pos="1008"/>
          <w:tab w:val="left" w:pos="1152"/>
          <w:tab w:val="left" w:pos="1872"/>
          <w:tab w:val="left" w:pos="9187"/>
        </w:tabs>
        <w:ind w:left="2088" w:hanging="2088"/>
        <w:jc w:val="left"/>
      </w:pPr>
      <w:r>
        <w:tab/>
        <w:t>1/13/2010</w:t>
      </w:r>
      <w:r>
        <w:tab/>
        <w:t>House</w:t>
      </w:r>
      <w:r>
        <w:tab/>
      </w:r>
      <w:r w:rsidRPr="00A0766F">
        <w:t xml:space="preserve">Recommitted to Committee on </w:t>
      </w:r>
      <w:r w:rsidRPr="00A0766F">
        <w:rPr>
          <w:b/>
        </w:rPr>
        <w:t>Judiciary</w:t>
      </w:r>
      <w:r w:rsidRPr="00A0766F">
        <w:t xml:space="preserve"> </w:t>
      </w:r>
      <w:hyperlink r:id="rId12" w:history="1">
        <w:r w:rsidRPr="00963513">
          <w:rPr>
            <w:rStyle w:val="Hyperlink"/>
          </w:rPr>
          <w:t>HJ</w:t>
        </w:r>
      </w:hyperlink>
      <w:r>
        <w:noBreakHyphen/>
      </w:r>
      <w:r w:rsidRPr="00A0766F">
        <w:t>28</w:t>
      </w:r>
    </w:p>
    <w:p w:rsidR="00C279C1" w:rsidRDefault="00C279C1" w:rsidP="00C279C1">
      <w:pPr>
        <w:widowControl w:val="0"/>
        <w:tabs>
          <w:tab w:val="right" w:pos="1008"/>
          <w:tab w:val="left" w:pos="1152"/>
          <w:tab w:val="left" w:pos="1872"/>
          <w:tab w:val="left" w:pos="9187"/>
        </w:tabs>
        <w:ind w:left="2088" w:hanging="2088"/>
        <w:jc w:val="left"/>
      </w:pPr>
      <w:r>
        <w:tab/>
        <w:t>3/2/2010</w:t>
      </w:r>
      <w:r>
        <w:tab/>
        <w:t>House</w:t>
      </w:r>
      <w:r>
        <w:tab/>
      </w:r>
      <w:r w:rsidRPr="00A0766F">
        <w:t>Member(s) request name added as sponsor: Jennings</w:t>
      </w:r>
    </w:p>
    <w:p w:rsidR="00C279C1" w:rsidRDefault="00C279C1" w:rsidP="00C279C1">
      <w:pPr>
        <w:widowControl w:val="0"/>
        <w:tabs>
          <w:tab w:val="right" w:pos="1008"/>
          <w:tab w:val="left" w:pos="1152"/>
          <w:tab w:val="left" w:pos="1872"/>
          <w:tab w:val="left" w:pos="9187"/>
        </w:tabs>
        <w:ind w:left="2088" w:hanging="2088"/>
        <w:jc w:val="left"/>
      </w:pPr>
    </w:p>
    <w:p w:rsidR="00D36F32" w:rsidRDefault="00D36F32">
      <w:pPr>
        <w:widowControl w:val="0"/>
        <w:tabs>
          <w:tab w:val="right" w:pos="1008"/>
          <w:tab w:val="left" w:pos="1152"/>
          <w:tab w:val="left" w:pos="1872"/>
          <w:tab w:val="left" w:pos="9187"/>
        </w:tabs>
        <w:ind w:left="2088" w:hanging="2088"/>
        <w:jc w:val="left"/>
      </w:pPr>
    </w:p>
    <w:p w:rsidR="00D36F32" w:rsidRDefault="0004113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36F32" w:rsidRDefault="00D36F3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36F32" w:rsidRDefault="00A111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3" w:history="1">
        <w:r w:rsidR="00041138">
          <w:rPr>
            <w:rStyle w:val="Hyperlink"/>
          </w:rPr>
          <w:t>3/26/2009</w:t>
        </w:r>
      </w:hyperlink>
    </w:p>
    <w:p w:rsidR="00D36F32" w:rsidRDefault="00A1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041138">
          <w:rPr>
            <w:rStyle w:val="Hyperlink"/>
          </w:rPr>
          <w:t>5/14/2009</w:t>
        </w:r>
      </w:hyperlink>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36F32">
          <w:pgSz w:w="12240" w:h="15840" w:code="1"/>
          <w:pgMar w:top="1080" w:right="1440" w:bottom="1080" w:left="1440" w:header="720" w:footer="720" w:gutter="0"/>
          <w:cols w:space="720"/>
          <w:noEndnote/>
          <w:docGrid w:linePitch="360"/>
        </w:sectPr>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right" w:pos="5933"/>
        </w:tabs>
        <w:suppressAutoHyphens/>
      </w:pPr>
      <w:r>
        <w:tab/>
      </w:r>
      <w:r>
        <w:rPr>
          <w:b/>
          <w:sz w:val="36"/>
        </w:rPr>
        <w:t>H. 3798</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Bannister and Harrison</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2009.</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F3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15</w:t>
      </w:r>
      <w:r>
        <w:rPr>
          <w:rFonts w:eastAsiaTheme="minorHAnsi" w:cstheme="minorBidi"/>
          <w:szCs w:val="22"/>
        </w:rPr>
        <w:noBreakHyphen/>
        <w:t>15, CODE OF LAWS OF SOUTH CAROLINA, 1976, RELATING TO THE DEPOSIT OF A CASH PERCENTAGE INSTEAD OF A BOND, ASSIGNMENT OF THE DEPOSIT, AND RESTITUTION TO THE VICTIM, SO AS TO PROVIDE FOR THE DEPOSIT OF A CASH AMOUNT BY THE DEFENDANT THROUGH AN ACCOMMODATION BONDSMAN, TO INCREASE THE CASH AMOUNT PERCENTAGE TO NOT LESS THAN TWENTY</w:t>
      </w:r>
      <w:r>
        <w:rPr>
          <w:rFonts w:eastAsiaTheme="minorHAnsi" w:cstheme="minorBidi"/>
          <w:szCs w:val="22"/>
        </w:rPr>
        <w:noBreakHyphen/>
        <w:t>FIVE PERCENT, AND TO REQUIRE THE ACCOMMODATION BONDSMAN TO PAY A HANDLING FEE TO THE CLERK OF COURT EQUAL TO FOUR PERCENT OF THE AMOUNT OF THE BOND SET.</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15</w:t>
      </w:r>
      <w:r>
        <w:noBreakHyphen/>
        <w:t>15 of the 1976 Code is amended to read:</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noBreakHyphen/>
        <w:t>15</w:t>
      </w:r>
      <w:r>
        <w:noBreakHyphen/>
        <w:t>15.</w:t>
      </w:r>
      <w:r>
        <w:tab/>
      </w:r>
      <w:r>
        <w:rPr>
          <w:strike/>
          <w:szCs w:val="24"/>
        </w:rPr>
        <w:t>(a) In lieu</w:t>
      </w:r>
      <w:r>
        <w:rPr>
          <w:szCs w:val="24"/>
          <w:u w:val="single"/>
        </w:rPr>
        <w:t>(A)</w:t>
      </w:r>
      <w:r>
        <w:rPr>
          <w:szCs w:val="24"/>
        </w:rPr>
        <w:tab/>
      </w:r>
      <w:r>
        <w:rPr>
          <w:szCs w:val="24"/>
          <w:u w:val="single"/>
        </w:rPr>
        <w:t>Instead</w:t>
      </w:r>
      <w:r>
        <w:rPr>
          <w:szCs w:val="24"/>
        </w:rPr>
        <w:t xml:space="preserve"> of requiring actual posting of bond as provided in </w:t>
      </w:r>
      <w:r>
        <w:rPr>
          <w:strike/>
          <w:szCs w:val="24"/>
        </w:rPr>
        <w:t>item (a) of</w:t>
      </w:r>
      <w:r>
        <w:rPr>
          <w:szCs w:val="24"/>
        </w:rPr>
        <w:t>Section 17</w:t>
      </w:r>
      <w:r>
        <w:rPr>
          <w:szCs w:val="24"/>
        </w:rPr>
        <w:noBreakHyphen/>
        <w:t>15</w:t>
      </w:r>
      <w:r>
        <w:rPr>
          <w:szCs w:val="24"/>
        </w:rPr>
        <w:noBreakHyphen/>
        <w:t>10, the court setting bond may permit the defendant</w:t>
      </w:r>
      <w:r>
        <w:rPr>
          <w:szCs w:val="24"/>
          <w:u w:val="single"/>
        </w:rPr>
        <w:t>, through an accommodation bondsman as defined in Section 38</w:t>
      </w:r>
      <w:r>
        <w:rPr>
          <w:szCs w:val="24"/>
          <w:u w:val="single"/>
        </w:rPr>
        <w:noBreakHyphen/>
        <w:t>53</w:t>
      </w:r>
      <w:r>
        <w:rPr>
          <w:szCs w:val="24"/>
          <w:u w:val="single"/>
        </w:rPr>
        <w:noBreakHyphen/>
        <w:t>10,</w:t>
      </w:r>
      <w:r>
        <w:rPr>
          <w:szCs w:val="24"/>
        </w:rPr>
        <w:t xml:space="preserve"> to deposit in cash with the clerk of court an amount not </w:t>
      </w:r>
      <w:r>
        <w:rPr>
          <w:strike/>
          <w:szCs w:val="24"/>
        </w:rPr>
        <w:t>to exceed ten</w:t>
      </w:r>
      <w:r>
        <w:rPr>
          <w:szCs w:val="24"/>
          <w:u w:val="single"/>
        </w:rPr>
        <w:t>less than twenty</w:t>
      </w:r>
      <w:r>
        <w:rPr>
          <w:szCs w:val="24"/>
          <w:u w:val="single"/>
        </w:rPr>
        <w:noBreakHyphen/>
        <w:t>five</w:t>
      </w:r>
      <w:r>
        <w:rPr>
          <w:szCs w:val="24"/>
        </w:rPr>
        <w:t xml:space="preserve"> percent of the amount of bond set, which amount, when the defendant fulfills the condition of the bond </w:t>
      </w:r>
      <w:r>
        <w:rPr>
          <w:szCs w:val="24"/>
          <w:u w:val="single"/>
        </w:rPr>
        <w:t>and if restitution to the victim is not ordered</w:t>
      </w:r>
      <w:r>
        <w:rPr>
          <w:szCs w:val="24"/>
        </w:rPr>
        <w:t xml:space="preserve">, </w:t>
      </w:r>
      <w:r>
        <w:rPr>
          <w:strike/>
          <w:szCs w:val="24"/>
        </w:rPr>
        <w:t>shall</w:t>
      </w:r>
      <w:r>
        <w:rPr>
          <w:szCs w:val="24"/>
          <w:u w:val="single"/>
        </w:rPr>
        <w:t>must</w:t>
      </w:r>
      <w:r>
        <w:rPr>
          <w:szCs w:val="24"/>
        </w:rPr>
        <w:t xml:space="preserve"> be returned to the defendant by the clerk except as provided in subsection </w:t>
      </w:r>
      <w:r>
        <w:rPr>
          <w:strike/>
          <w:szCs w:val="24"/>
        </w:rPr>
        <w:t>(c)</w:t>
      </w:r>
      <w:r>
        <w:rPr>
          <w:szCs w:val="24"/>
          <w:u w:val="single"/>
        </w:rPr>
        <w:t>(B)</w:t>
      </w:r>
      <w:r>
        <w:rPr>
          <w:szCs w:val="24"/>
        </w:rPr>
        <w:t>.</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The accommodation bondsman shall pay a handling fee to the clerk of court equal to four percent of the amount of the bond set to be retained by the clerk of court for its operational use.</w:t>
      </w:r>
      <w:r>
        <w:rPr>
          <w:szCs w:val="24"/>
        </w:rPr>
        <w:t xml:space="preserve"> </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 The cash deposit provided for in subsection (a) shall be assignable at any time after it is posted with the clerk of court by written assignment executed by the defendant and delivered to the clerk.  After assignment and after the defendant fulfills the condition of his bond, the clerk shall return the cash deposit to the assignee thereof.</w:t>
      </w:r>
      <w:r>
        <w:rPr>
          <w:szCs w:val="24"/>
        </w:rPr>
        <w:t xml:space="preserve"> </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(c)</w:t>
      </w:r>
      <w:r>
        <w:rPr>
          <w:szCs w:val="24"/>
          <w:u w:val="single"/>
        </w:rPr>
        <w:t>(B)</w:t>
      </w:r>
      <w:r>
        <w:rPr>
          <w:szCs w:val="24"/>
        </w:rPr>
        <w:tab/>
        <w:t xml:space="preserve">In the event the cash deposit is not assigned but the defendant is required by the court to make restitution to the victim of his crime, </w:t>
      </w:r>
      <w:r>
        <w:rPr>
          <w:strike/>
          <w:szCs w:val="24"/>
        </w:rPr>
        <w:t>such</w:t>
      </w:r>
      <w:r>
        <w:rPr>
          <w:szCs w:val="24"/>
          <w:u w:val="single"/>
        </w:rPr>
        <w:t>the</w:t>
      </w:r>
      <w:r>
        <w:rPr>
          <w:szCs w:val="24"/>
        </w:rPr>
        <w:t xml:space="preserve"> deposit </w:t>
      </w:r>
      <w:r>
        <w:rPr>
          <w:strike/>
          <w:szCs w:val="24"/>
        </w:rPr>
        <w:t>may</w:t>
      </w:r>
      <w:r>
        <w:rPr>
          <w:szCs w:val="24"/>
          <w:u w:val="single"/>
        </w:rPr>
        <w:t>must</w:t>
      </w:r>
      <w:r>
        <w:rPr>
          <w:szCs w:val="24"/>
        </w:rPr>
        <w:t xml:space="preserve"> be used for the purpose of </w:t>
      </w:r>
      <w:r>
        <w:rPr>
          <w:strike/>
          <w:szCs w:val="24"/>
        </w:rPr>
        <w:t>such</w:t>
      </w:r>
      <w:r>
        <w:rPr>
          <w:szCs w:val="24"/>
          <w:u w:val="single"/>
        </w:rPr>
        <w:t>the</w:t>
      </w:r>
      <w:r>
        <w:rPr>
          <w:szCs w:val="24"/>
        </w:rPr>
        <w:t xml:space="preserve"> restitution.</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The cash deposit provided for in subsection (A) is assignable at any time after it is posted with the clerk of court by written assignment executed by the defendant’s accommodation bondsman and delivered to the clerk of court.  After assignment and after the defendant fulfills the condition of  his bond, and if restitution to the victim is not ordered, the clerk of court shall return the cash deposit to the appropriate assignee of the bond.</w:t>
      </w:r>
      <w:r>
        <w:t>”</w:t>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6F32" w:rsidRDefault="00041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F32" w:rsidRDefault="00D3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36F32" w:rsidSect="00D36F3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F32" w:rsidRDefault="00041138">
      <w:r>
        <w:separator/>
      </w:r>
    </w:p>
  </w:endnote>
  <w:endnote w:type="continuationSeparator" w:id="0">
    <w:p w:rsidR="00D36F32" w:rsidRDefault="00041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29D00D-0FAB-44A7-A9F5-07FD0E456496}"/>
    <w:embedBold r:id="rId2" w:fontKey="{F6E6E611-6334-46B0-9EC9-99DC3A03C44B}"/>
  </w:font>
  <w:font w:name="Calibri">
    <w:panose1 w:val="020F0502020204030204"/>
    <w:charset w:val="00"/>
    <w:family w:val="swiss"/>
    <w:pitch w:val="variable"/>
    <w:sig w:usb0="E10002FF" w:usb1="4000ACFF" w:usb2="00000009" w:usb3="00000000" w:csb0="0000019F" w:csb1="00000000"/>
    <w:embedRegular r:id="rId3" w:fontKey="{B857EDA6-9A06-423D-8245-CF96F3D41044}"/>
  </w:font>
  <w:font w:name="Cambria">
    <w:panose1 w:val="02040503050406030204"/>
    <w:charset w:val="00"/>
    <w:family w:val="roman"/>
    <w:pitch w:val="variable"/>
    <w:sig w:usb0="E00002FF" w:usb1="400004FF" w:usb2="00000000" w:usb3="00000000" w:csb0="0000019F" w:csb1="00000000"/>
    <w:embedRegular r:id="rId4" w:fontKey="{B7EB87E4-D400-415F-9299-B465AADAF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32" w:rsidRDefault="00041138">
    <w:pPr>
      <w:pStyle w:val="Footer"/>
      <w:tabs>
        <w:tab w:val="clear" w:pos="4680"/>
        <w:tab w:val="clear" w:pos="9360"/>
        <w:tab w:val="center" w:pos="2995"/>
      </w:tabs>
      <w:spacing w:before="120"/>
    </w:pPr>
    <w:r>
      <w:t>[3798-</w:t>
    </w:r>
    <w:r w:rsidR="00A111C2">
      <w:fldChar w:fldCharType="begin"/>
    </w:r>
    <w:r w:rsidR="00A111C2">
      <w:instrText xml:space="preserve"> PAGE  \* MERGEFORMAT </w:instrText>
    </w:r>
    <w:r w:rsidR="00A111C2">
      <w:fldChar w:fldCharType="separate"/>
    </w:r>
    <w:r w:rsidR="00A111C2">
      <w:rPr>
        <w:noProof/>
      </w:rPr>
      <w:t>1</w:t>
    </w:r>
    <w:r w:rsidR="00A111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F32" w:rsidRDefault="00041138">
    <w:pPr>
      <w:pStyle w:val="Footer"/>
      <w:tabs>
        <w:tab w:val="clear" w:pos="4680"/>
        <w:tab w:val="clear" w:pos="9360"/>
        <w:tab w:val="center" w:pos="2995"/>
      </w:tabs>
      <w:spacing w:before="120"/>
    </w:pPr>
    <w:r>
      <w:t>[3798]</w:t>
    </w:r>
    <w:r>
      <w:tab/>
    </w:r>
    <w:r w:rsidR="00A111C2">
      <w:fldChar w:fldCharType="begin"/>
    </w:r>
    <w:r w:rsidR="00A111C2">
      <w:instrText xml:space="preserve"> PAGE  \* MERGEFORMAT </w:instrText>
    </w:r>
    <w:r w:rsidR="00A111C2">
      <w:fldChar w:fldCharType="separate"/>
    </w:r>
    <w:r>
      <w:rPr>
        <w:noProof/>
      </w:rPr>
      <w:t>2</w:t>
    </w:r>
    <w:r w:rsidR="00A111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F32" w:rsidRDefault="00041138">
      <w:r>
        <w:separator/>
      </w:r>
    </w:p>
  </w:footnote>
  <w:footnote w:type="continuationSeparator" w:id="0">
    <w:p w:rsidR="00D36F32" w:rsidRDefault="000411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01AHB09"/>
    <w:docVar w:name="CoverBillType" w:val="b"/>
    <w:docVar w:name="docpath" w:val="L:\Council\bills\MS\7201AHB09.DOCX"/>
    <w:docVar w:name="dvBillNumber" w:val="3798"/>
    <w:docVar w:name="dvBillNumberPrefix" w:val="H. "/>
    <w:docVar w:name="dvOriginalBody" w:val="House"/>
    <w:docVar w:name="dvSteno" w:val="MS"/>
    <w:docVar w:name="NameofBody" w:val="h"/>
    <w:docVar w:name="vgroup2" w:val="Council"/>
  </w:docVars>
  <w:rsids>
    <w:rsidRoot w:val="00D36F32"/>
    <w:rsid w:val="00041138"/>
    <w:rsid w:val="000646FA"/>
    <w:rsid w:val="000A0535"/>
    <w:rsid w:val="002B2260"/>
    <w:rsid w:val="003B42A0"/>
    <w:rsid w:val="00545C85"/>
    <w:rsid w:val="00820F06"/>
    <w:rsid w:val="00963513"/>
    <w:rsid w:val="00A111C2"/>
    <w:rsid w:val="00B40192"/>
    <w:rsid w:val="00C279C1"/>
    <w:rsid w:val="00C67195"/>
    <w:rsid w:val="00CF7981"/>
    <w:rsid w:val="00D36F32"/>
    <w:rsid w:val="00D66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34A3EC-A50F-4B11-9112-1A57516BF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F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36F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F32"/>
    <w:rPr>
      <w:rFonts w:eastAsia="Times New Roman" w:cs="Times New Roman"/>
      <w:b/>
      <w:sz w:val="30"/>
      <w:szCs w:val="20"/>
    </w:rPr>
  </w:style>
  <w:style w:type="paragraph" w:styleId="Header">
    <w:name w:val="header"/>
    <w:basedOn w:val="Normal"/>
    <w:link w:val="HeaderChar"/>
    <w:uiPriority w:val="99"/>
    <w:semiHidden/>
    <w:unhideWhenUsed/>
    <w:rsid w:val="00D36F32"/>
    <w:pPr>
      <w:tabs>
        <w:tab w:val="center" w:pos="4320"/>
        <w:tab w:val="right" w:pos="8640"/>
      </w:tabs>
    </w:pPr>
  </w:style>
  <w:style w:type="character" w:customStyle="1" w:styleId="HeaderChar">
    <w:name w:val="Header Char"/>
    <w:basedOn w:val="DefaultParagraphFont"/>
    <w:link w:val="Header"/>
    <w:uiPriority w:val="99"/>
    <w:semiHidden/>
    <w:rsid w:val="00D36F32"/>
    <w:rPr>
      <w:rFonts w:eastAsia="Times New Roman" w:cs="Times New Roman"/>
      <w:szCs w:val="20"/>
    </w:rPr>
  </w:style>
  <w:style w:type="paragraph" w:styleId="Footer">
    <w:name w:val="footer"/>
    <w:basedOn w:val="Normal"/>
    <w:link w:val="FooterChar"/>
    <w:uiPriority w:val="99"/>
    <w:unhideWhenUsed/>
    <w:rsid w:val="00D36F32"/>
    <w:pPr>
      <w:tabs>
        <w:tab w:val="center" w:pos="4680"/>
        <w:tab w:val="right" w:pos="9360"/>
      </w:tabs>
    </w:pPr>
  </w:style>
  <w:style w:type="character" w:customStyle="1" w:styleId="FooterChar">
    <w:name w:val="Footer Char"/>
    <w:basedOn w:val="DefaultParagraphFont"/>
    <w:link w:val="Footer"/>
    <w:uiPriority w:val="99"/>
    <w:rsid w:val="00D36F32"/>
    <w:rPr>
      <w:rFonts w:eastAsia="Times New Roman" w:cs="Times New Roman"/>
      <w:szCs w:val="20"/>
    </w:rPr>
  </w:style>
  <w:style w:type="character" w:styleId="PageNumber">
    <w:name w:val="page number"/>
    <w:basedOn w:val="DefaultParagraphFont"/>
    <w:uiPriority w:val="99"/>
    <w:semiHidden/>
    <w:unhideWhenUsed/>
    <w:rsid w:val="00D36F32"/>
  </w:style>
  <w:style w:type="character" w:styleId="LineNumber">
    <w:name w:val="line number"/>
    <w:basedOn w:val="DefaultParagraphFont"/>
    <w:uiPriority w:val="99"/>
    <w:semiHidden/>
    <w:unhideWhenUsed/>
    <w:rsid w:val="00D36F32"/>
  </w:style>
  <w:style w:type="paragraph" w:customStyle="1" w:styleId="BillDots">
    <w:name w:val="Bill Dots"/>
    <w:basedOn w:val="Normal"/>
    <w:qFormat/>
    <w:rsid w:val="00D36F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36F32"/>
    <w:pPr>
      <w:tabs>
        <w:tab w:val="right" w:pos="5904"/>
      </w:tabs>
    </w:pPr>
  </w:style>
  <w:style w:type="character" w:styleId="Hyperlink">
    <w:name w:val="Hyperlink"/>
    <w:basedOn w:val="DefaultParagraphFont"/>
    <w:uiPriority w:val="99"/>
    <w:unhideWhenUsed/>
    <w:rsid w:val="00D36F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13" Type="http://schemas.openxmlformats.org/officeDocument/2006/relationships/hyperlink" Target="file:///p:\pprever\2009-10\3798_200903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hyperlink" Target="file:///h:\HJ%20Archive\2010\01-13-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21-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5-20-09.docx" TargetMode="External"/><Relationship Id="rId4" Type="http://schemas.openxmlformats.org/officeDocument/2006/relationships/webSettings" Target="webSettings.xml"/><Relationship Id="rId9" Type="http://schemas.openxmlformats.org/officeDocument/2006/relationships/hyperlink" Target="file:///h:\HJ%20Archive\2009\05-14-09.docx" TargetMode="External"/><Relationship Id="rId14" Type="http://schemas.openxmlformats.org/officeDocument/2006/relationships/hyperlink" Target="file:///p:\pprever\2009-10\3798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7FE0E-65F2-48E0-90EC-A7B3B699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586</Words>
  <Characters>2987</Characters>
  <Application>Microsoft Office Word</Application>
  <DocSecurity>0</DocSecurity>
  <Lines>112</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3798: Bond - South Carolina Legislature Online</dc:title>
  <dc:subject/>
  <dc:creator>Martha Sanders</dc:creator>
  <cp:keywords/>
  <dc:description/>
  <cp:lastModifiedBy>N Cumfer</cp:lastModifiedBy>
  <cp:revision>17</cp:revision>
  <cp:lastPrinted>2009-03-25T17:00:00Z</cp:lastPrinted>
  <dcterms:created xsi:type="dcterms:W3CDTF">2009-05-14T22:57:00Z</dcterms:created>
  <dcterms:modified xsi:type="dcterms:W3CDTF">2014-11-24T16:13:00Z</dcterms:modified>
</cp:coreProperties>
</file>