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5401" w:rsidRDefault="00624A0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245401" w:rsidRDefault="00624A0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245401" w:rsidRDefault="0024540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45401" w:rsidRDefault="00624A0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3920</w:t>
      </w:r>
    </w:p>
    <w:p w:rsidR="00245401" w:rsidRDefault="0024540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245401" w:rsidRDefault="00624A0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245401" w:rsidRDefault="0024540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45401" w:rsidRDefault="00624A0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245401" w:rsidRDefault="00624A0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Bales</w:t>
      </w:r>
    </w:p>
    <w:p w:rsidR="00245401" w:rsidRDefault="00624A0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l:\council\bills\ms\7334ahb09.docx</w:t>
      </w:r>
    </w:p>
    <w:p w:rsidR="00245401" w:rsidRDefault="0024540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45401" w:rsidRDefault="00624A0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April 22, 2009</w:t>
      </w:r>
    </w:p>
    <w:p w:rsidR="00245401" w:rsidRDefault="00624A0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Judiciary</w:t>
      </w:r>
    </w:p>
    <w:p w:rsidR="00245401" w:rsidRDefault="0024540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45401" w:rsidRDefault="00624A0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Alcohol permits</w:t>
      </w:r>
    </w:p>
    <w:p w:rsidR="00245401" w:rsidRDefault="0024540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45401" w:rsidRDefault="0024540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45401" w:rsidRDefault="00624A00">
      <w:pPr>
        <w:widowControl w:val="0"/>
        <w:tabs>
          <w:tab w:val="center" w:pos="590"/>
          <w:tab w:val="center" w:pos="1440"/>
          <w:tab w:val="left" w:pos="1872"/>
          <w:tab w:val="left" w:pos="9187"/>
        </w:tabs>
        <w:jc w:val="left"/>
      </w:pPr>
      <w:r>
        <w:rPr>
          <w:b/>
        </w:rPr>
        <w:t>HISTORY OF LEGISLATIVE ACTIONS</w:t>
      </w:r>
    </w:p>
    <w:p w:rsidR="00245401" w:rsidRDefault="00245401">
      <w:pPr>
        <w:widowControl w:val="0"/>
        <w:tabs>
          <w:tab w:val="center" w:pos="590"/>
          <w:tab w:val="center" w:pos="1440"/>
          <w:tab w:val="left" w:pos="1872"/>
          <w:tab w:val="left" w:pos="9187"/>
        </w:tabs>
        <w:jc w:val="left"/>
      </w:pPr>
    </w:p>
    <w:p w:rsidR="00245401" w:rsidRDefault="00624A0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45401" w:rsidRDefault="00624A00">
      <w:pPr>
        <w:widowControl w:val="0"/>
        <w:tabs>
          <w:tab w:val="right" w:pos="1008"/>
          <w:tab w:val="left" w:pos="1152"/>
          <w:tab w:val="left" w:pos="1872"/>
          <w:tab w:val="left" w:pos="9187"/>
        </w:tabs>
        <w:ind w:left="2088" w:hanging="2088"/>
        <w:jc w:val="left"/>
      </w:pPr>
      <w:r>
        <w:tab/>
        <w:t>4/22/2009</w:t>
      </w:r>
      <w:r>
        <w:tab/>
        <w:t>House</w:t>
      </w:r>
      <w:r>
        <w:tab/>
        <w:t xml:space="preserve">Introduced and read first time </w:t>
      </w:r>
      <w:hyperlink r:id="rId7" w:history="1">
        <w:r w:rsidRPr="007332CF">
          <w:rPr>
            <w:rStyle w:val="Hyperlink"/>
          </w:rPr>
          <w:t>HJ</w:t>
        </w:r>
      </w:hyperlink>
      <w:r>
        <w:noBreakHyphen/>
        <w:t>14</w:t>
      </w:r>
    </w:p>
    <w:p w:rsidR="00245401" w:rsidRDefault="00624A00">
      <w:pPr>
        <w:widowControl w:val="0"/>
        <w:tabs>
          <w:tab w:val="right" w:pos="1008"/>
          <w:tab w:val="left" w:pos="1152"/>
          <w:tab w:val="left" w:pos="1872"/>
          <w:tab w:val="left" w:pos="9187"/>
        </w:tabs>
        <w:ind w:left="2088" w:hanging="2088"/>
        <w:jc w:val="left"/>
      </w:pPr>
      <w:r>
        <w:tab/>
        <w:t>4/22/2009</w:t>
      </w:r>
      <w:r>
        <w:tab/>
        <w:t>House</w:t>
      </w:r>
      <w:r>
        <w:tab/>
        <w:t xml:space="preserve">Referred to Committee on </w:t>
      </w:r>
      <w:r>
        <w:rPr>
          <w:b/>
        </w:rPr>
        <w:t>Judiciary</w:t>
      </w:r>
      <w:r>
        <w:t xml:space="preserve"> </w:t>
      </w:r>
      <w:hyperlink r:id="rId8" w:history="1">
        <w:r w:rsidRPr="007332CF">
          <w:rPr>
            <w:rStyle w:val="Hyperlink"/>
          </w:rPr>
          <w:t>HJ</w:t>
        </w:r>
      </w:hyperlink>
      <w:r>
        <w:noBreakHyphen/>
        <w:t>14</w:t>
      </w:r>
    </w:p>
    <w:p w:rsidR="00245401" w:rsidRDefault="00245401">
      <w:pPr>
        <w:widowControl w:val="0"/>
        <w:tabs>
          <w:tab w:val="right" w:pos="1008"/>
          <w:tab w:val="left" w:pos="1152"/>
          <w:tab w:val="left" w:pos="1872"/>
          <w:tab w:val="left" w:pos="9187"/>
        </w:tabs>
        <w:ind w:left="2088" w:hanging="2088"/>
        <w:jc w:val="left"/>
      </w:pPr>
    </w:p>
    <w:p w:rsidR="00245401" w:rsidRDefault="00245401">
      <w:pPr>
        <w:widowControl w:val="0"/>
        <w:tabs>
          <w:tab w:val="right" w:pos="1008"/>
          <w:tab w:val="left" w:pos="1152"/>
          <w:tab w:val="left" w:pos="1872"/>
          <w:tab w:val="left" w:pos="9187"/>
        </w:tabs>
        <w:ind w:left="2088" w:hanging="2088"/>
        <w:jc w:val="left"/>
      </w:pPr>
    </w:p>
    <w:p w:rsidR="00245401" w:rsidRDefault="00624A0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245401" w:rsidRDefault="0024540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45401" w:rsidRDefault="00E1057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624A00">
          <w:rPr>
            <w:rStyle w:val="Hyperlink"/>
          </w:rPr>
          <w:t>4/22/2009</w:t>
        </w:r>
      </w:hyperlink>
    </w:p>
    <w:p w:rsidR="00245401" w:rsidRDefault="00245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5401" w:rsidRDefault="00245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45401">
          <w:pgSz w:w="12240" w:h="15840" w:code="1"/>
          <w:pgMar w:top="1080" w:right="1440" w:bottom="1080" w:left="1440" w:header="720" w:footer="720" w:gutter="0"/>
          <w:cols w:space="720"/>
          <w:noEndnote/>
          <w:docGrid w:linePitch="360"/>
        </w:sectPr>
      </w:pPr>
    </w:p>
    <w:p w:rsidR="00245401" w:rsidRDefault="00245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401" w:rsidRDefault="00245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401" w:rsidRDefault="00245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401" w:rsidRDefault="00245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401" w:rsidRDefault="00245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401" w:rsidRDefault="00245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401" w:rsidRDefault="00245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401" w:rsidRDefault="00245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401" w:rsidRDefault="00624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245401" w:rsidRDefault="00245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401" w:rsidRDefault="00624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bookmarkStart w:id="2" w:name="titletop"/>
      <w:bookmarkEnd w:id="2"/>
      <w:r>
        <w:rPr>
          <w:rFonts w:eastAsiaTheme="minorHAnsi" w:cstheme="minorBidi"/>
          <w:szCs w:val="22"/>
        </w:rPr>
        <w:t>TO AMEND SECTION 61</w:t>
      </w:r>
      <w:r>
        <w:rPr>
          <w:rFonts w:eastAsiaTheme="minorHAnsi" w:cstheme="minorBidi"/>
          <w:szCs w:val="22"/>
        </w:rPr>
        <w:noBreakHyphen/>
        <w:t>4</w:t>
      </w:r>
      <w:r>
        <w:rPr>
          <w:rFonts w:eastAsiaTheme="minorHAnsi" w:cstheme="minorBidi"/>
          <w:szCs w:val="22"/>
        </w:rPr>
        <w:noBreakHyphen/>
        <w:t>520, CODE OF LAWS OF SOUTH CAROLINA, 1976, RELATING TO REQUIREMENTS FOR RETAIL PERMITS REGARDING BEER AND WINE, SO AS TO ADD AN ADDITIONAL REQUIREMENT THAT THE LOCATION OF THE PLACE OF BUSINESS NOT BE WITHIN THREE HUNDRED FEET OF A RESIDENCE; AND TO AMEND SECTION 61</w:t>
      </w:r>
      <w:r>
        <w:rPr>
          <w:rFonts w:eastAsiaTheme="minorHAnsi" w:cstheme="minorBidi"/>
          <w:szCs w:val="22"/>
        </w:rPr>
        <w:noBreakHyphen/>
        <w:t>6</w:t>
      </w:r>
      <w:r>
        <w:rPr>
          <w:rFonts w:eastAsiaTheme="minorHAnsi" w:cstheme="minorBidi"/>
          <w:szCs w:val="22"/>
        </w:rPr>
        <w:noBreakHyphen/>
        <w:t>120, RELATING TO THE ISSUANCE OF RETAIL PERMITS REGARDING ALCOHOLIC LIQUORS, SO AS TO PROHIBIT THE ISSUANCE OF A LICENSE WHEN THE PLACE OF BUSINESS IS WITHIN A CERTAIN DISTANCE OF A RESIDENCE AND TO DEFINE THE TERM “RESIDENCE”.</w:t>
      </w:r>
    </w:p>
    <w:p w:rsidR="00245401" w:rsidRDefault="00245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45401" w:rsidRDefault="00624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5401" w:rsidRDefault="00245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401" w:rsidRDefault="00624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61</w:t>
      </w:r>
      <w:r>
        <w:noBreakHyphen/>
        <w:t>4</w:t>
      </w:r>
      <w:r>
        <w:noBreakHyphen/>
        <w:t>520(5) of the 1976 Code is amended to read:</w:t>
      </w:r>
    </w:p>
    <w:p w:rsidR="00245401" w:rsidRDefault="00245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401" w:rsidRDefault="00624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 xml:space="preserve">The location of the proposed place of business of the applicant is in the opinion of the department a proper one </w:t>
      </w:r>
      <w:r>
        <w:rPr>
          <w:u w:val="single"/>
        </w:rPr>
        <w:t>and not within three hundred feet of a residence</w:t>
      </w:r>
      <w:r>
        <w:t xml:space="preserve">.” </w:t>
      </w:r>
    </w:p>
    <w:p w:rsidR="00245401" w:rsidRDefault="00245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401" w:rsidRDefault="00624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61</w:t>
      </w:r>
      <w:r>
        <w:noBreakHyphen/>
        <w:t>6</w:t>
      </w:r>
      <w:r>
        <w:noBreakHyphen/>
        <w:t>120(A) of the 1976 Code is amended to read:</w:t>
      </w:r>
    </w:p>
    <w:p w:rsidR="00245401" w:rsidRDefault="00245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5401" w:rsidRDefault="00624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(A)</w:t>
      </w:r>
      <w:r>
        <w:rPr>
          <w:szCs w:val="24"/>
        </w:rPr>
        <w:tab/>
        <w:t xml:space="preserve">The department </w:t>
      </w:r>
      <w:r>
        <w:rPr>
          <w:strike/>
          <w:szCs w:val="24"/>
        </w:rPr>
        <w:t>shall</w:t>
      </w:r>
      <w:r>
        <w:rPr>
          <w:szCs w:val="24"/>
        </w:rPr>
        <w:t xml:space="preserve"> </w:t>
      </w:r>
      <w:r>
        <w:rPr>
          <w:szCs w:val="24"/>
          <w:u w:val="single"/>
        </w:rPr>
        <w:t>may</w:t>
      </w:r>
      <w:r>
        <w:rPr>
          <w:szCs w:val="24"/>
        </w:rPr>
        <w:t xml:space="preserve"> not grant or issue any license provided for in this article or Article 7 </w:t>
      </w:r>
      <w:r>
        <w:rPr>
          <w:strike/>
          <w:szCs w:val="24"/>
        </w:rPr>
        <w:t>of this chapter</w:t>
      </w:r>
      <w:r>
        <w:rPr>
          <w:szCs w:val="24"/>
        </w:rPr>
        <w:t xml:space="preserve">, if the place of business is within three hundred feet of any church, school, </w:t>
      </w:r>
      <w:r>
        <w:rPr>
          <w:strike/>
          <w:szCs w:val="24"/>
        </w:rPr>
        <w:t>or</w:t>
      </w:r>
      <w:r>
        <w:rPr>
          <w:szCs w:val="24"/>
        </w:rPr>
        <w:t xml:space="preserve"> playground</w:t>
      </w:r>
      <w:r>
        <w:rPr>
          <w:szCs w:val="24"/>
          <w:u w:val="single"/>
        </w:rPr>
        <w:t>, or residence</w:t>
      </w:r>
      <w:r>
        <w:rPr>
          <w:szCs w:val="24"/>
        </w:rPr>
        <w:t xml:space="preserve"> situated within a municipality or within five hundred feet of any church, school, </w:t>
      </w:r>
      <w:r>
        <w:rPr>
          <w:strike/>
          <w:szCs w:val="24"/>
        </w:rPr>
        <w:t>or</w:t>
      </w:r>
      <w:r>
        <w:rPr>
          <w:szCs w:val="24"/>
        </w:rPr>
        <w:t xml:space="preserve"> playground</w:t>
      </w:r>
      <w:r>
        <w:rPr>
          <w:szCs w:val="24"/>
          <w:u w:val="single"/>
        </w:rPr>
        <w:t>, or residence</w:t>
      </w:r>
      <w:r>
        <w:rPr>
          <w:szCs w:val="24"/>
        </w:rPr>
        <w:t xml:space="preserve"> situated outside of a municipality.  </w:t>
      </w:r>
      <w:r>
        <w:rPr>
          <w:strike/>
          <w:szCs w:val="24"/>
        </w:rPr>
        <w:t>Such</w:t>
      </w:r>
      <w:r>
        <w:rPr>
          <w:szCs w:val="24"/>
        </w:rPr>
        <w:t xml:space="preserve"> </w:t>
      </w:r>
      <w:r>
        <w:rPr>
          <w:szCs w:val="24"/>
          <w:u w:val="single"/>
        </w:rPr>
        <w:t>This</w:t>
      </w:r>
      <w:r>
        <w:rPr>
          <w:szCs w:val="24"/>
        </w:rPr>
        <w:t xml:space="preserve"> distance </w:t>
      </w:r>
      <w:r>
        <w:rPr>
          <w:strike/>
          <w:szCs w:val="24"/>
        </w:rPr>
        <w:lastRenderedPageBreak/>
        <w:t>shall</w:t>
      </w:r>
      <w:r>
        <w:rPr>
          <w:szCs w:val="24"/>
        </w:rPr>
        <w:t xml:space="preserve"> </w:t>
      </w:r>
      <w:r>
        <w:rPr>
          <w:szCs w:val="24"/>
          <w:u w:val="single"/>
        </w:rPr>
        <w:t>must</w:t>
      </w:r>
      <w:r>
        <w:rPr>
          <w:szCs w:val="24"/>
        </w:rPr>
        <w:t xml:space="preserve"> be computed by following the shortest route of ordinary pedestrian or vehicular travel along the public thoroughfare from the nearest point of the grounds in use as part of </w:t>
      </w:r>
      <w:r>
        <w:rPr>
          <w:strike/>
          <w:szCs w:val="24"/>
        </w:rPr>
        <w:t>such</w:t>
      </w:r>
      <w:r>
        <w:rPr>
          <w:szCs w:val="24"/>
        </w:rPr>
        <w:t xml:space="preserve"> </w:t>
      </w:r>
      <w:r>
        <w:rPr>
          <w:szCs w:val="24"/>
          <w:u w:val="single"/>
        </w:rPr>
        <w:t>any</w:t>
      </w:r>
      <w:r>
        <w:rPr>
          <w:szCs w:val="24"/>
        </w:rPr>
        <w:t xml:space="preserve"> church, school, </w:t>
      </w:r>
      <w:r>
        <w:rPr>
          <w:strike/>
          <w:szCs w:val="24"/>
        </w:rPr>
        <w:t>or</w:t>
      </w:r>
      <w:r>
        <w:rPr>
          <w:szCs w:val="24"/>
        </w:rPr>
        <w:t xml:space="preserve"> playground, </w:t>
      </w:r>
      <w:r>
        <w:rPr>
          <w:szCs w:val="24"/>
          <w:u w:val="single"/>
        </w:rPr>
        <w:t>or residence</w:t>
      </w:r>
      <w:r>
        <w:rPr>
          <w:szCs w:val="24"/>
        </w:rPr>
        <w:t xml:space="preserve"> which</w:t>
      </w:r>
      <w:r>
        <w:rPr>
          <w:strike/>
          <w:szCs w:val="24"/>
        </w:rPr>
        <w:t>, as used herein, shall be</w:t>
      </w:r>
      <w:r>
        <w:rPr>
          <w:szCs w:val="24"/>
        </w:rPr>
        <w:t xml:space="preserve"> </w:t>
      </w:r>
      <w:r>
        <w:rPr>
          <w:szCs w:val="24"/>
          <w:u w:val="single"/>
        </w:rPr>
        <w:t>is</w:t>
      </w:r>
      <w:r>
        <w:rPr>
          <w:szCs w:val="24"/>
        </w:rPr>
        <w:t xml:space="preserve"> defined as follows: </w:t>
      </w:r>
    </w:p>
    <w:p w:rsidR="00245401" w:rsidRDefault="00624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‘Church’</w:t>
      </w:r>
      <w:r>
        <w:rPr>
          <w:strike/>
          <w:szCs w:val="24"/>
        </w:rPr>
        <w:t>,</w:t>
      </w:r>
      <w:r>
        <w:rPr>
          <w:szCs w:val="24"/>
        </w:rPr>
        <w:t xml:space="preserve"> </w:t>
      </w:r>
      <w:r>
        <w:rPr>
          <w:szCs w:val="24"/>
          <w:u w:val="single"/>
        </w:rPr>
        <w:t>means</w:t>
      </w:r>
      <w:r>
        <w:rPr>
          <w:szCs w:val="24"/>
        </w:rPr>
        <w:t xml:space="preserve"> an establishment, other than a private dwelling, where religious services are usually conducted</w:t>
      </w:r>
      <w:r>
        <w:rPr>
          <w:strike/>
          <w:szCs w:val="24"/>
        </w:rPr>
        <w:t>;</w:t>
      </w:r>
      <w:r>
        <w:rPr>
          <w:szCs w:val="24"/>
          <w:u w:val="single"/>
        </w:rPr>
        <w:t xml:space="preserve">. </w:t>
      </w:r>
    </w:p>
    <w:p w:rsidR="00245401" w:rsidRDefault="00624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‘School’</w:t>
      </w:r>
      <w:r>
        <w:rPr>
          <w:strike/>
          <w:szCs w:val="24"/>
        </w:rPr>
        <w:t>,</w:t>
      </w:r>
      <w:r>
        <w:rPr>
          <w:szCs w:val="24"/>
        </w:rPr>
        <w:t xml:space="preserve"> </w:t>
      </w:r>
      <w:r>
        <w:rPr>
          <w:szCs w:val="24"/>
          <w:u w:val="single"/>
        </w:rPr>
        <w:t>means</w:t>
      </w:r>
      <w:r>
        <w:rPr>
          <w:szCs w:val="24"/>
        </w:rPr>
        <w:t xml:space="preserve"> an establishment, other than a private dwelling where the usual processes of education are usually conducted</w:t>
      </w:r>
      <w:r>
        <w:rPr>
          <w:strike/>
          <w:szCs w:val="24"/>
        </w:rPr>
        <w:t>; and</w:t>
      </w:r>
      <w:r>
        <w:rPr>
          <w:szCs w:val="24"/>
          <w:u w:val="single"/>
        </w:rPr>
        <w:t>.</w:t>
      </w:r>
      <w:r>
        <w:rPr>
          <w:szCs w:val="24"/>
        </w:rPr>
        <w:t xml:space="preserve"> </w:t>
      </w:r>
    </w:p>
    <w:p w:rsidR="00245401" w:rsidRDefault="00624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(3)</w:t>
      </w:r>
      <w:r>
        <w:rPr>
          <w:szCs w:val="24"/>
        </w:rPr>
        <w:tab/>
        <w:t>‘Playground’</w:t>
      </w:r>
      <w:r>
        <w:rPr>
          <w:strike/>
          <w:szCs w:val="24"/>
        </w:rPr>
        <w:t>,</w:t>
      </w:r>
      <w:r>
        <w:rPr>
          <w:szCs w:val="24"/>
        </w:rPr>
        <w:t xml:space="preserve"> </w:t>
      </w:r>
      <w:r>
        <w:rPr>
          <w:szCs w:val="24"/>
          <w:u w:val="single"/>
        </w:rPr>
        <w:t>means</w:t>
      </w:r>
      <w:r>
        <w:rPr>
          <w:szCs w:val="24"/>
        </w:rPr>
        <w:t xml:space="preserve"> a place, other than grounds at a private dwelling, which is provided by the public or members of a community for recreation.</w:t>
      </w:r>
    </w:p>
    <w:p w:rsidR="00245401" w:rsidRDefault="00624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(4)</w:t>
      </w:r>
      <w:r>
        <w:rPr>
          <w:szCs w:val="24"/>
        </w:rPr>
        <w:tab/>
      </w:r>
      <w:r>
        <w:rPr>
          <w:szCs w:val="24"/>
          <w:u w:val="single"/>
        </w:rPr>
        <w:t>‘Residence’ means real property, or a portion of real property, used or occupied and intended, arranged, or designed to be used or occupied as a home, domicile, or sleeping place of one or more persons and includes single</w:t>
      </w:r>
      <w:r>
        <w:rPr>
          <w:szCs w:val="24"/>
          <w:u w:val="single"/>
        </w:rPr>
        <w:noBreakHyphen/>
        <w:t>family residences in which the occupants rent or lease the premises from the owner.</w:t>
      </w:r>
      <w:r>
        <w:rPr>
          <w:szCs w:val="24"/>
        </w:rPr>
        <w:t xml:space="preserve"> </w:t>
      </w:r>
    </w:p>
    <w:p w:rsidR="00245401" w:rsidRDefault="00624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The above restrictions do not apply to the renewal of licenses and they do not apply to new applications for locations which are licensed at the time the new application is filed with the department.</w:t>
      </w:r>
      <w:r>
        <w:rPr>
          <w:szCs w:val="24"/>
        </w:rPr>
        <w:t>”</w:t>
      </w:r>
    </w:p>
    <w:p w:rsidR="00245401" w:rsidRDefault="00245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401" w:rsidRDefault="00624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45401" w:rsidRDefault="00624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5401" w:rsidRDefault="00245401">
      <w:pPr>
        <w:suppressAutoHyphens/>
      </w:pPr>
    </w:p>
    <w:sectPr w:rsidR="00245401" w:rsidSect="0024540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5401" w:rsidRDefault="00624A00">
      <w:r>
        <w:separator/>
      </w:r>
    </w:p>
  </w:endnote>
  <w:endnote w:type="continuationSeparator" w:id="0">
    <w:p w:rsidR="00245401" w:rsidRDefault="00624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8244C4-FBAC-49EE-8C62-8CD8F772C7BC}"/>
    <w:embedBold r:id="rId2" w:fontKey="{9B3DEAEC-B456-4821-9654-908625EB451B}"/>
  </w:font>
  <w:font w:name="Calibri">
    <w:panose1 w:val="020F0502020204030204"/>
    <w:charset w:val="00"/>
    <w:family w:val="swiss"/>
    <w:pitch w:val="variable"/>
    <w:sig w:usb0="E10002FF" w:usb1="4000ACFF" w:usb2="00000009" w:usb3="00000000" w:csb0="0000019F" w:csb1="00000000"/>
    <w:embedRegular r:id="rId3" w:fontKey="{0EF7FE23-0DC0-4C6B-966A-33E695555060}"/>
  </w:font>
  <w:font w:name="Tahoma">
    <w:panose1 w:val="020B0604030504040204"/>
    <w:charset w:val="00"/>
    <w:family w:val="swiss"/>
    <w:pitch w:val="variable"/>
    <w:sig w:usb0="21002A87" w:usb1="80000000" w:usb2="00000008" w:usb3="00000000" w:csb0="000101FF" w:csb1="00000000"/>
    <w:embedRegular r:id="rId4" w:fontKey="{FD8F75F7-2209-404B-B88F-A4A1B1C91CFF}"/>
  </w:font>
  <w:font w:name="Cambria">
    <w:panose1 w:val="02040503050406030204"/>
    <w:charset w:val="00"/>
    <w:family w:val="roman"/>
    <w:pitch w:val="variable"/>
    <w:sig w:usb0="E00002FF" w:usb1="400004FF" w:usb2="00000000" w:usb3="00000000" w:csb0="0000019F" w:csb1="00000000"/>
    <w:embedRegular r:id="rId5" w:fontKey="{437CDD44-1C50-4958-A552-F3007D4572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401" w:rsidRDefault="00624A00">
    <w:pPr>
      <w:pStyle w:val="Footer"/>
      <w:tabs>
        <w:tab w:val="clear" w:pos="4680"/>
        <w:tab w:val="clear" w:pos="9360"/>
        <w:tab w:val="center" w:pos="2995"/>
      </w:tabs>
      <w:spacing w:before="120"/>
    </w:pPr>
    <w:r>
      <w:t>[3920]</w:t>
    </w:r>
    <w:r>
      <w:tab/>
    </w:r>
    <w:r w:rsidR="00E1057E">
      <w:fldChar w:fldCharType="begin"/>
    </w:r>
    <w:r w:rsidR="00E1057E">
      <w:instrText xml:space="preserve"> PAGE  \* MERGEFORMAT </w:instrText>
    </w:r>
    <w:r w:rsidR="00E1057E">
      <w:fldChar w:fldCharType="separate"/>
    </w:r>
    <w:r w:rsidR="00E1057E">
      <w:rPr>
        <w:noProof/>
      </w:rPr>
      <w:t>1</w:t>
    </w:r>
    <w:r w:rsidR="00E1057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5401" w:rsidRDefault="00624A00">
      <w:r>
        <w:separator/>
      </w:r>
    </w:p>
  </w:footnote>
  <w:footnote w:type="continuationSeparator" w:id="0">
    <w:p w:rsidR="00245401" w:rsidRDefault="00624A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34AHB09"/>
    <w:docVar w:name="CoverBillType" w:val="b"/>
    <w:docVar w:name="docpath" w:val="L:\Council\bills\MS\7334AHB09.DOCX"/>
    <w:docVar w:name="dvBillNumber" w:val="3920"/>
    <w:docVar w:name="dvBillNumberPrefix" w:val="H. "/>
    <w:docVar w:name="dvOriginalBody" w:val="House"/>
    <w:docVar w:name="dvSteno" w:val="MS"/>
    <w:docVar w:name="NameofBody" w:val="h"/>
    <w:docVar w:name="vgroup2" w:val="Council"/>
  </w:docVars>
  <w:rsids>
    <w:rsidRoot w:val="00245401"/>
    <w:rsid w:val="00245401"/>
    <w:rsid w:val="005B74EE"/>
    <w:rsid w:val="00624A00"/>
    <w:rsid w:val="007332CF"/>
    <w:rsid w:val="007706F1"/>
    <w:rsid w:val="0085758B"/>
    <w:rsid w:val="00E105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BF00B22-185F-49BF-A467-ECE44A7E8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40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4540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5401"/>
    <w:rPr>
      <w:rFonts w:eastAsia="Times New Roman" w:cs="Times New Roman"/>
      <w:b/>
      <w:sz w:val="30"/>
      <w:szCs w:val="20"/>
    </w:rPr>
  </w:style>
  <w:style w:type="paragraph" w:styleId="Header">
    <w:name w:val="header"/>
    <w:basedOn w:val="Normal"/>
    <w:link w:val="HeaderChar"/>
    <w:uiPriority w:val="99"/>
    <w:semiHidden/>
    <w:unhideWhenUsed/>
    <w:rsid w:val="00245401"/>
    <w:pPr>
      <w:tabs>
        <w:tab w:val="center" w:pos="4320"/>
        <w:tab w:val="right" w:pos="8640"/>
      </w:tabs>
    </w:pPr>
  </w:style>
  <w:style w:type="character" w:customStyle="1" w:styleId="HeaderChar">
    <w:name w:val="Header Char"/>
    <w:basedOn w:val="DefaultParagraphFont"/>
    <w:link w:val="Header"/>
    <w:uiPriority w:val="99"/>
    <w:semiHidden/>
    <w:rsid w:val="00245401"/>
    <w:rPr>
      <w:rFonts w:eastAsia="Times New Roman" w:cs="Times New Roman"/>
      <w:szCs w:val="20"/>
    </w:rPr>
  </w:style>
  <w:style w:type="paragraph" w:styleId="Footer">
    <w:name w:val="footer"/>
    <w:basedOn w:val="Normal"/>
    <w:link w:val="FooterChar"/>
    <w:uiPriority w:val="99"/>
    <w:unhideWhenUsed/>
    <w:rsid w:val="00245401"/>
    <w:pPr>
      <w:tabs>
        <w:tab w:val="center" w:pos="4680"/>
        <w:tab w:val="right" w:pos="9360"/>
      </w:tabs>
    </w:pPr>
  </w:style>
  <w:style w:type="character" w:customStyle="1" w:styleId="FooterChar">
    <w:name w:val="Footer Char"/>
    <w:basedOn w:val="DefaultParagraphFont"/>
    <w:link w:val="Footer"/>
    <w:uiPriority w:val="99"/>
    <w:rsid w:val="00245401"/>
    <w:rPr>
      <w:rFonts w:eastAsia="Times New Roman" w:cs="Times New Roman"/>
      <w:szCs w:val="20"/>
    </w:rPr>
  </w:style>
  <w:style w:type="character" w:styleId="PageNumber">
    <w:name w:val="page number"/>
    <w:basedOn w:val="DefaultParagraphFont"/>
    <w:uiPriority w:val="99"/>
    <w:semiHidden/>
    <w:unhideWhenUsed/>
    <w:rsid w:val="00245401"/>
  </w:style>
  <w:style w:type="character" w:styleId="LineNumber">
    <w:name w:val="line number"/>
    <w:basedOn w:val="DefaultParagraphFont"/>
    <w:uiPriority w:val="99"/>
    <w:semiHidden/>
    <w:unhideWhenUsed/>
    <w:rsid w:val="00245401"/>
  </w:style>
  <w:style w:type="paragraph" w:customStyle="1" w:styleId="BillDots">
    <w:name w:val="Bill Dots"/>
    <w:basedOn w:val="Normal"/>
    <w:qFormat/>
    <w:rsid w:val="0024540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45401"/>
    <w:pPr>
      <w:tabs>
        <w:tab w:val="right" w:pos="5904"/>
      </w:tabs>
    </w:pPr>
  </w:style>
  <w:style w:type="paragraph" w:styleId="BalloonText">
    <w:name w:val="Balloon Text"/>
    <w:basedOn w:val="Normal"/>
    <w:link w:val="BalloonTextChar"/>
    <w:uiPriority w:val="99"/>
    <w:semiHidden/>
    <w:unhideWhenUsed/>
    <w:rsid w:val="00245401"/>
    <w:rPr>
      <w:rFonts w:ascii="Tahoma" w:hAnsi="Tahoma" w:cs="Tahoma"/>
      <w:sz w:val="16"/>
      <w:szCs w:val="16"/>
    </w:rPr>
  </w:style>
  <w:style w:type="character" w:customStyle="1" w:styleId="BalloonTextChar">
    <w:name w:val="Balloon Text Char"/>
    <w:basedOn w:val="DefaultParagraphFont"/>
    <w:link w:val="BalloonText"/>
    <w:uiPriority w:val="99"/>
    <w:semiHidden/>
    <w:rsid w:val="00245401"/>
    <w:rPr>
      <w:rFonts w:ascii="Tahoma" w:eastAsia="Times New Roman" w:hAnsi="Tahoma" w:cs="Tahoma"/>
      <w:sz w:val="16"/>
      <w:szCs w:val="16"/>
    </w:rPr>
  </w:style>
  <w:style w:type="character" w:styleId="Hyperlink">
    <w:name w:val="Hyperlink"/>
    <w:basedOn w:val="DefaultParagraphFont"/>
    <w:uiPriority w:val="99"/>
    <w:unhideWhenUsed/>
    <w:rsid w:val="002454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2-09.docx" TargetMode="External"/><Relationship Id="rId3" Type="http://schemas.openxmlformats.org/officeDocument/2006/relationships/settings" Target="settings.xml"/><Relationship Id="rId7" Type="http://schemas.openxmlformats.org/officeDocument/2006/relationships/hyperlink" Target="file:///h:\HJ%20Archive\2009\04-2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920_200904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284F8-EBD1-4A26-80D2-8352624A3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504</Words>
  <Characters>2585</Characters>
  <Application>Microsoft Office Word</Application>
  <DocSecurity>0</DocSecurity>
  <Lines>96</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3920: Alcohol permits - South Carolina Legislature Online</dc:title>
  <dc:subject/>
  <dc:creator>SANDERSM</dc:creator>
  <cp:keywords/>
  <dc:description/>
  <cp:lastModifiedBy>N Cumfer</cp:lastModifiedBy>
  <cp:revision>9</cp:revision>
  <cp:lastPrinted>2009-04-21T18:33:00Z</cp:lastPrinted>
  <dcterms:created xsi:type="dcterms:W3CDTF">2009-04-22T14:34:00Z</dcterms:created>
  <dcterms:modified xsi:type="dcterms:W3CDTF">2014-11-24T16:15:00Z</dcterms:modified>
</cp:coreProperties>
</file>