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3940</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Cobb</w:t>
      </w:r>
      <w:r>
        <w:noBreakHyphen/>
        <w:t>Hunter</w:t>
      </w: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l:\council\bills\agm\19402ab09.docx</w:t>
      </w:r>
    </w:p>
    <w:p w:rsidR="00011A1A"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893</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Unemployment benefits</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011A1A">
      <w:pPr>
        <w:widowControl w:val="0"/>
        <w:tabs>
          <w:tab w:val="center" w:pos="590"/>
          <w:tab w:val="center" w:pos="1440"/>
          <w:tab w:val="left" w:pos="1872"/>
          <w:tab w:val="left" w:pos="9187"/>
        </w:tabs>
        <w:jc w:val="left"/>
      </w:pPr>
      <w:r>
        <w:rPr>
          <w:b/>
        </w:rPr>
        <w:t>HISTORY OF LEGISLATIVE ACTIONS</w:t>
      </w:r>
    </w:p>
    <w:p w:rsidR="00A54D03" w:rsidRDefault="00A54D03">
      <w:pPr>
        <w:widowControl w:val="0"/>
        <w:tabs>
          <w:tab w:val="center" w:pos="590"/>
          <w:tab w:val="center" w:pos="1440"/>
          <w:tab w:val="left" w:pos="1872"/>
          <w:tab w:val="left" w:pos="9187"/>
        </w:tabs>
        <w:jc w:val="left"/>
      </w:pPr>
    </w:p>
    <w:p w:rsidR="00A54D03" w:rsidRDefault="00011A1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54D03" w:rsidRDefault="00011A1A">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F8268C">
          <w:rPr>
            <w:rStyle w:val="Hyperlink"/>
          </w:rPr>
          <w:t>HJ</w:t>
        </w:r>
      </w:hyperlink>
      <w:r>
        <w:noBreakHyphen/>
        <w:t>61</w:t>
      </w:r>
    </w:p>
    <w:p w:rsidR="00A54D03" w:rsidRDefault="00011A1A">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Ways and Means</w:t>
      </w:r>
      <w:r>
        <w:t xml:space="preserve"> </w:t>
      </w:r>
      <w:hyperlink r:id="rId8" w:history="1">
        <w:r w:rsidRPr="00F8268C">
          <w:rPr>
            <w:rStyle w:val="Hyperlink"/>
          </w:rPr>
          <w:t>HJ</w:t>
        </w:r>
      </w:hyperlink>
      <w:r>
        <w:noBreakHyphen/>
        <w:t>61</w:t>
      </w:r>
    </w:p>
    <w:p w:rsidR="00A54D03" w:rsidRDefault="00A54D03">
      <w:pPr>
        <w:widowControl w:val="0"/>
        <w:tabs>
          <w:tab w:val="right" w:pos="1008"/>
          <w:tab w:val="left" w:pos="1152"/>
          <w:tab w:val="left" w:pos="1872"/>
          <w:tab w:val="left" w:pos="9187"/>
        </w:tabs>
        <w:ind w:left="2088" w:hanging="2088"/>
        <w:jc w:val="left"/>
      </w:pPr>
    </w:p>
    <w:p w:rsidR="00A54D03" w:rsidRDefault="00A54D03">
      <w:pPr>
        <w:widowControl w:val="0"/>
        <w:tabs>
          <w:tab w:val="right" w:pos="1008"/>
          <w:tab w:val="left" w:pos="1152"/>
          <w:tab w:val="left" w:pos="1872"/>
          <w:tab w:val="left" w:pos="9187"/>
        </w:tabs>
        <w:ind w:left="2088" w:hanging="2088"/>
        <w:jc w:val="left"/>
      </w:pPr>
    </w:p>
    <w:p w:rsidR="00A54D03" w:rsidRDefault="00011A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54D03" w:rsidRDefault="00A54D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D03" w:rsidRDefault="005A584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11A1A">
          <w:rPr>
            <w:rStyle w:val="Hyperlink"/>
          </w:rPr>
          <w:t>4/22/2009</w:t>
        </w:r>
      </w:hyperlink>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54D03">
          <w:pgSz w:w="12240" w:h="15840" w:code="1"/>
          <w:pgMar w:top="1080" w:right="1440" w:bottom="1080" w:left="1440" w:header="720" w:footer="720" w:gutter="0"/>
          <w:cols w:space="720"/>
          <w:noEndnote/>
          <w:docGrid w:linePitch="360"/>
        </w:sectPr>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35</w:t>
      </w:r>
      <w:r>
        <w:noBreakHyphen/>
        <w:t>330, CODE OF LAWS OF SOUTH CAROLINA, 1976, RELATING TO CERTAIN DEFINITIONS ASSOCIATED WITH EXTENDED UNEMPLOYMENT BENEFITS, SO AS TO PROVIDE AN ADDITIONAL “STATE ‘ON’ INDICATOR”; TO AMEND SECTION 41</w:t>
      </w:r>
      <w:r>
        <w:noBreakHyphen/>
        <w:t>35</w:t>
      </w:r>
      <w:r>
        <w:noBreakHyphen/>
        <w:t>380, RELATING TO THE DEFINITION OF THE ELIGIBILITY PERIOD FOR UNEMPLOYMENT BENEFITS, SO AS TO ADD TO THE DEFINITION OF THIS ELIGIBILITY PERIOD; AND TO AMEND SECTION 41</w:t>
      </w:r>
      <w:r>
        <w:noBreakHyphen/>
        <w:t>35</w:t>
      </w:r>
      <w:r>
        <w:noBreakHyphen/>
        <w:t>440, RELATING TO THE TOTAL EXTENDED BENEFIT AMOUNT OF UNEMPLOYMENT BENEFITS PAYABLE TO AN INDIVIDUAL WITHIN A BENEFIT YEAR, SO AS TO PROVIDE FOR A FORMULA FOR DETERMINING THE TOTAL EXTENDED BENEFIT AMOUNT PAYABLE TO AN INDIVIDUAL WITH RESPECT TO THE APPLICABLE BENEFIT YEAR FOR WEEKS BEGINNING IN A HIGH</w:t>
      </w:r>
      <w:r>
        <w:noBreakHyphen/>
        <w:t>UNEMPLOYMENT PERIOD.</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35</w:t>
      </w:r>
      <w:r>
        <w:noBreakHyphen/>
        <w:t>330 of the 1976 Code is amended to read:</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35</w:t>
      </w:r>
      <w:r>
        <w:noBreakHyphen/>
        <w:t>330.</w:t>
      </w:r>
      <w:r>
        <w:tab/>
      </w:r>
      <w:r>
        <w:rPr>
          <w:strike/>
          <w:szCs w:val="24"/>
        </w:rPr>
        <w:t>(1)</w:t>
      </w:r>
      <w:r>
        <w:rPr>
          <w:szCs w:val="24"/>
          <w:u w:val="single"/>
        </w:rPr>
        <w:t>(A)</w:t>
      </w:r>
      <w:r>
        <w:rPr>
          <w:szCs w:val="24"/>
        </w:rPr>
        <w:tab/>
        <w:t xml:space="preserve">There is a ‘state ‘on’ indicator’ for this State for a week if the commission determines, in accordance with the regulations of the U. S. Secretary of Labor, that for the period consisting of </w:t>
      </w:r>
      <w:r>
        <w:rPr>
          <w:strike/>
          <w:szCs w:val="24"/>
        </w:rPr>
        <w:t>such</w:t>
      </w:r>
      <w:r>
        <w:rPr>
          <w:szCs w:val="24"/>
        </w:rPr>
        <w:t xml:space="preserve"> </w:t>
      </w:r>
      <w:r>
        <w:rPr>
          <w:szCs w:val="24"/>
          <w:u w:val="single"/>
        </w:rPr>
        <w:t>this</w:t>
      </w:r>
      <w:r>
        <w:rPr>
          <w:szCs w:val="24"/>
        </w:rPr>
        <w:t xml:space="preserve"> week and the immediately preceding twelve weeks</w:t>
      </w:r>
      <w:r>
        <w:rPr>
          <w:szCs w:val="24"/>
          <w:u w:val="single"/>
        </w:rPr>
        <w:t>’</w:t>
      </w:r>
      <w:r>
        <w:rPr>
          <w:szCs w:val="24"/>
        </w:rPr>
        <w:t xml:space="preserve"> the rate of insured unemployment</w:t>
      </w:r>
      <w:r>
        <w:rPr>
          <w:szCs w:val="24"/>
          <w:u w:val="single"/>
        </w:rPr>
        <w:t>,</w:t>
      </w:r>
      <w:r>
        <w:rPr>
          <w:szCs w:val="24"/>
        </w:rPr>
        <w:t xml:space="preserve"> </w:t>
      </w:r>
      <w:r>
        <w:rPr>
          <w:strike/>
          <w:szCs w:val="24"/>
        </w:rPr>
        <w:t>(</w:t>
      </w:r>
      <w:r>
        <w:rPr>
          <w:szCs w:val="24"/>
        </w:rPr>
        <w:t>not seasonally adjusted</w:t>
      </w:r>
      <w:r>
        <w:rPr>
          <w:strike/>
          <w:szCs w:val="24"/>
        </w:rPr>
        <w:t>)</w:t>
      </w:r>
      <w:r>
        <w:rPr>
          <w:szCs w:val="24"/>
          <w:u w:val="single"/>
        </w:rPr>
        <w:t>,</w:t>
      </w:r>
      <w:r>
        <w:rPr>
          <w:szCs w:val="24"/>
        </w:rPr>
        <w:t xml:space="preserve"> under Chapters 27 through 41 of this title: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r>
      <w:r>
        <w:rPr>
          <w:strike/>
          <w:szCs w:val="24"/>
        </w:rPr>
        <w:t>Equaled</w:t>
      </w:r>
      <w:r>
        <w:rPr>
          <w:szCs w:val="24"/>
        </w:rPr>
        <w:t xml:space="preserve"> </w:t>
      </w:r>
      <w:r>
        <w:rPr>
          <w:szCs w:val="24"/>
          <w:u w:val="single"/>
        </w:rPr>
        <w:t>equaled</w:t>
      </w:r>
      <w:r>
        <w:rPr>
          <w:szCs w:val="24"/>
        </w:rPr>
        <w:t xml:space="preserve"> or exceeded one hundred twenty percent of the average of </w:t>
      </w:r>
      <w:r>
        <w:rPr>
          <w:strike/>
          <w:szCs w:val="24"/>
        </w:rPr>
        <w:t>such</w:t>
      </w:r>
      <w:r>
        <w:rPr>
          <w:szCs w:val="24"/>
        </w:rPr>
        <w:t xml:space="preserve"> </w:t>
      </w:r>
      <w:r>
        <w:rPr>
          <w:szCs w:val="24"/>
          <w:u w:val="single"/>
        </w:rPr>
        <w:t>these</w:t>
      </w:r>
      <w:r>
        <w:rPr>
          <w:szCs w:val="24"/>
        </w:rPr>
        <w:t xml:space="preserve"> rates for the corresponding </w:t>
      </w:r>
      <w:r>
        <w:rPr>
          <w:szCs w:val="24"/>
        </w:rPr>
        <w:lastRenderedPageBreak/>
        <w:t xml:space="preserve">thirteen week </w:t>
      </w:r>
      <w:r>
        <w:rPr>
          <w:strike/>
          <w:szCs w:val="24"/>
        </w:rPr>
        <w:t>period</w:t>
      </w:r>
      <w:r>
        <w:rPr>
          <w:szCs w:val="24"/>
        </w:rPr>
        <w:t xml:space="preserve"> </w:t>
      </w:r>
      <w:r>
        <w:rPr>
          <w:szCs w:val="24"/>
          <w:u w:val="single"/>
        </w:rPr>
        <w:t>periods</w:t>
      </w:r>
      <w:r>
        <w:rPr>
          <w:szCs w:val="24"/>
        </w:rPr>
        <w:t xml:space="preserve"> ending in </w:t>
      </w:r>
      <w:r>
        <w:rPr>
          <w:strike/>
          <w:szCs w:val="24"/>
        </w:rPr>
        <w:t>each of</w:t>
      </w:r>
      <w:r>
        <w:rPr>
          <w:szCs w:val="24"/>
        </w:rPr>
        <w:t xml:space="preserve"> the preceding two calendar years</w:t>
      </w:r>
      <w:r>
        <w:rPr>
          <w:strike/>
          <w:szCs w:val="24"/>
        </w:rPr>
        <w:t>,</w:t>
      </w:r>
      <w:r>
        <w:rPr>
          <w:szCs w:val="24"/>
          <w:u w:val="single"/>
        </w:rPr>
        <w:t>;</w:t>
      </w:r>
      <w:r>
        <w:rPr>
          <w:szCs w:val="24"/>
        </w:rPr>
        <w:t xml:space="preserve"> and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Equaled</w:t>
      </w:r>
      <w:r>
        <w:rPr>
          <w:szCs w:val="24"/>
        </w:rPr>
        <w:t xml:space="preserve"> </w:t>
      </w:r>
      <w:r>
        <w:rPr>
          <w:szCs w:val="24"/>
          <w:u w:val="single"/>
        </w:rPr>
        <w:t>equaled</w:t>
      </w:r>
      <w:r>
        <w:rPr>
          <w:szCs w:val="24"/>
        </w:rPr>
        <w:t xml:space="preserve"> or exceeded five percent.  With respect to benefits for weeks of unemployment beginning after July 1, 1977, the determination of whether there has been a ‘state ‘on’ or ‘off’ indicator’ for this State beginning or ending any extended benefit period must be made under this section as if</w:t>
      </w:r>
      <w:r>
        <w:rPr>
          <w:szCs w:val="24"/>
          <w:u w:val="single"/>
        </w:rPr>
        <w:t>:</w:t>
      </w:r>
      <w:r>
        <w:rPr>
          <w:szCs w:val="24"/>
        </w:rPr>
        <w:t xml:space="preserve">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rPr>
        <w:tab/>
      </w:r>
      <w:r>
        <w:rPr>
          <w:szCs w:val="24"/>
          <w:u w:val="single"/>
        </w:rPr>
        <w:t>(a)</w:t>
      </w:r>
      <w:r>
        <w:rPr>
          <w:szCs w:val="24"/>
        </w:rPr>
        <w:tab/>
      </w:r>
      <w:r>
        <w:rPr>
          <w:strike/>
          <w:szCs w:val="24"/>
        </w:rPr>
        <w:t>paragraph (1)</w:t>
      </w:r>
      <w:r>
        <w:rPr>
          <w:szCs w:val="24"/>
        </w:rPr>
        <w:t xml:space="preserve"> </w:t>
      </w:r>
      <w:r>
        <w:rPr>
          <w:szCs w:val="24"/>
          <w:u w:val="single"/>
        </w:rPr>
        <w:t>subsection (A)</w:t>
      </w:r>
      <w:r>
        <w:rPr>
          <w:szCs w:val="24"/>
        </w:rPr>
        <w:t xml:space="preserve"> did not contain </w:t>
      </w:r>
      <w:r>
        <w:rPr>
          <w:strike/>
          <w:szCs w:val="24"/>
        </w:rPr>
        <w:t>subparagraph (a)</w:t>
      </w:r>
      <w:r>
        <w:rPr>
          <w:szCs w:val="24"/>
        </w:rPr>
        <w:t xml:space="preserve"> </w:t>
      </w:r>
      <w:r>
        <w:rPr>
          <w:szCs w:val="24"/>
          <w:u w:val="single"/>
        </w:rPr>
        <w:t>item (1)</w:t>
      </w:r>
      <w:r>
        <w:rPr>
          <w:szCs w:val="24"/>
        </w:rPr>
        <w:t xml:space="preserve">; and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the word ‘five’ contained in </w:t>
      </w:r>
      <w:r>
        <w:rPr>
          <w:strike/>
          <w:szCs w:val="24"/>
        </w:rPr>
        <w:t>subparagraph (b) thereof</w:t>
      </w:r>
      <w:r>
        <w:rPr>
          <w:szCs w:val="24"/>
        </w:rPr>
        <w:t xml:space="preserve"> </w:t>
      </w:r>
      <w:r>
        <w:rPr>
          <w:szCs w:val="24"/>
          <w:u w:val="single"/>
        </w:rPr>
        <w:t>item (2) of subsection (A) of this section</w:t>
      </w:r>
      <w:r>
        <w:rPr>
          <w:szCs w:val="24"/>
        </w:rPr>
        <w:t xml:space="preserve"> were ‘six’ except that, notwithstanding </w:t>
      </w:r>
      <w:r>
        <w:rPr>
          <w:strike/>
          <w:szCs w:val="24"/>
        </w:rPr>
        <w:t>any such</w:t>
      </w:r>
      <w:r>
        <w:rPr>
          <w:szCs w:val="24"/>
        </w:rPr>
        <w:t xml:space="preserve"> </w:t>
      </w:r>
      <w:r>
        <w:rPr>
          <w:szCs w:val="24"/>
          <w:u w:val="single"/>
        </w:rPr>
        <w:t>another</w:t>
      </w:r>
      <w:r>
        <w:rPr>
          <w:szCs w:val="24"/>
        </w:rPr>
        <w:t xml:space="preserve"> provision of this section, </w:t>
      </w:r>
      <w:r>
        <w:rPr>
          <w:strike/>
          <w:szCs w:val="24"/>
        </w:rPr>
        <w:t>any</w:t>
      </w:r>
      <w:r>
        <w:rPr>
          <w:szCs w:val="24"/>
        </w:rPr>
        <w:t xml:space="preserve"> </w:t>
      </w:r>
      <w:r>
        <w:rPr>
          <w:szCs w:val="24"/>
          <w:u w:val="single"/>
        </w:rPr>
        <w:t>a</w:t>
      </w:r>
      <w:r>
        <w:rPr>
          <w:szCs w:val="24"/>
        </w:rPr>
        <w:t xml:space="preserve"> week for which there would otherwise be a ‘state ‘on’ indicator’ for this State must continue to be such a week and </w:t>
      </w:r>
      <w:r>
        <w:rPr>
          <w:strike/>
          <w:szCs w:val="24"/>
        </w:rPr>
        <w:t>shall</w:t>
      </w:r>
      <w:r>
        <w:rPr>
          <w:szCs w:val="24"/>
        </w:rPr>
        <w:t xml:space="preserve"> </w:t>
      </w:r>
      <w:r>
        <w:rPr>
          <w:szCs w:val="24"/>
          <w:u w:val="single"/>
        </w:rPr>
        <w:t>must</w:t>
      </w:r>
      <w:r>
        <w:rPr>
          <w:szCs w:val="24"/>
        </w:rPr>
        <w:t xml:space="preserve"> not be determined to be a week for which there is a ‘state ‘off’ indicator’ for this State.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There is a ‘state ‘on’ indicator’ if, with respect to a week of unemployment beginning after January 31, 2009:</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the average rate of total unemployment, seasonally adjusted, as determined by the United States Secretary of Labor, for the period consisting of the most recent three months for which data for all states are published before the close of the week equals or exceeds six and one</w:t>
      </w:r>
      <w:r>
        <w:rPr>
          <w:szCs w:val="24"/>
          <w:u w:val="single"/>
        </w:rPr>
        <w:noBreakHyphen/>
        <w:t>half percent; and</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the average rate of total unemployment in this State, seasonally adjusted, as determined by the United States Secretary of Labor, for the three</w:t>
      </w:r>
      <w:r>
        <w:rPr>
          <w:szCs w:val="24"/>
          <w:u w:val="single"/>
        </w:rPr>
        <w:noBreakHyphen/>
        <w:t>month period referred to in subitem (A) of this subsection, equals or exceeds one hundred ten percent of the average for either or both of the corresponding three</w:t>
      </w:r>
      <w:r>
        <w:rPr>
          <w:szCs w:val="24"/>
          <w:u w:val="single"/>
        </w:rPr>
        <w:noBreakHyphen/>
        <w:t>month periods ending in the two preceding calendar years.</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This subsection is effective after January 31, 2009, and ceases to be in effect the week ending three weeks before the last week for which federal sharing is authorized by Section 2005(a) of Public Law 111</w:t>
      </w:r>
      <w:r>
        <w:rPr>
          <w:szCs w:val="24"/>
          <w:u w:val="single"/>
        </w:rPr>
        <w:noBreakHyphen/>
        <w:t>5.</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(C)</w:t>
      </w:r>
      <w:r>
        <w:rPr>
          <w:szCs w:val="24"/>
        </w:rPr>
        <w:tab/>
        <w:t xml:space="preserve">There is a ‘state ‘off’ indicator’ for this State for a week if, for the period consisting of such week and the immediately preceding twelve weeks, either </w:t>
      </w:r>
      <w:r>
        <w:rPr>
          <w:strike/>
          <w:szCs w:val="24"/>
        </w:rPr>
        <w:t>subparagraph (a) or (b) of paragraph (1)</w:t>
      </w:r>
      <w:r>
        <w:rPr>
          <w:szCs w:val="24"/>
        </w:rPr>
        <w:t xml:space="preserve"> </w:t>
      </w:r>
      <w:r>
        <w:rPr>
          <w:szCs w:val="24"/>
          <w:u w:val="single"/>
        </w:rPr>
        <w:t>item (1) or (2) of subsection (A)</w:t>
      </w:r>
      <w:r>
        <w:rPr>
          <w:szCs w:val="24"/>
        </w:rPr>
        <w:t xml:space="preserve"> was not satisfied.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(3)</w:t>
      </w:r>
      <w:r>
        <w:rPr>
          <w:szCs w:val="24"/>
          <w:u w:val="single"/>
        </w:rPr>
        <w:t>(D)</w:t>
      </w:r>
      <w:r>
        <w:rPr>
          <w:szCs w:val="24"/>
        </w:rPr>
        <w:tab/>
      </w:r>
      <w:r>
        <w:rPr>
          <w:strike/>
          <w:szCs w:val="24"/>
        </w:rPr>
        <w:t>This</w:t>
      </w:r>
      <w:r>
        <w:rPr>
          <w:szCs w:val="24"/>
        </w:rPr>
        <w:t xml:space="preserve"> </w:t>
      </w:r>
      <w:r>
        <w:rPr>
          <w:szCs w:val="24"/>
          <w:u w:val="single"/>
        </w:rPr>
        <w:t>Except as provided in subsection (B), this</w:t>
      </w:r>
      <w:r>
        <w:rPr>
          <w:szCs w:val="24"/>
        </w:rPr>
        <w:t xml:space="preserve"> section is applicable for </w:t>
      </w:r>
      <w:r>
        <w:rPr>
          <w:strike/>
          <w:szCs w:val="24"/>
        </w:rPr>
        <w:t>all weeks</w:t>
      </w:r>
      <w:r>
        <w:rPr>
          <w:szCs w:val="24"/>
        </w:rPr>
        <w:t xml:space="preserve"> </w:t>
      </w:r>
      <w:r>
        <w:rPr>
          <w:szCs w:val="24"/>
          <w:u w:val="single"/>
        </w:rPr>
        <w:t>a week</w:t>
      </w:r>
      <w:r>
        <w:rPr>
          <w:szCs w:val="24"/>
        </w:rPr>
        <w:t xml:space="preserve"> beginning after September 25, 1982.”</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35</w:t>
      </w:r>
      <w:r>
        <w:rPr>
          <w:szCs w:val="24"/>
        </w:rPr>
        <w:noBreakHyphen/>
        <w:t>380 of the 1976 Code is amended to read:</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35</w:t>
      </w:r>
      <w:r>
        <w:rPr>
          <w:szCs w:val="24"/>
        </w:rPr>
        <w:noBreakHyphen/>
        <w:t>380.</w:t>
      </w:r>
      <w:r>
        <w:rPr>
          <w:szCs w:val="24"/>
        </w:rPr>
        <w:tab/>
      </w:r>
      <w:r>
        <w:t xml:space="preserve">‘Eligibility period’ of an individual means the period consisting of the weeks in his benefit year </w:t>
      </w:r>
      <w:r>
        <w:rPr>
          <w:strike/>
        </w:rPr>
        <w:t>which</w:t>
      </w:r>
      <w:r>
        <w:t xml:space="preserve"> </w:t>
      </w:r>
      <w:r>
        <w:rPr>
          <w:u w:val="single"/>
        </w:rPr>
        <w:t>that</w:t>
      </w:r>
      <w:r>
        <w:t xml:space="preserve"> begin in an extended benefit period and, if his benefit year ends within </w:t>
      </w:r>
      <w:r>
        <w:rPr>
          <w:strike/>
        </w:rPr>
        <w:t>such</w:t>
      </w:r>
      <w:r>
        <w:t xml:space="preserve"> </w:t>
      </w:r>
      <w:r>
        <w:rPr>
          <w:u w:val="single"/>
        </w:rPr>
        <w:t>the</w:t>
      </w:r>
      <w:r>
        <w:t xml:space="preserve"> extended benefit period, </w:t>
      </w:r>
      <w:r>
        <w:rPr>
          <w:strike/>
        </w:rPr>
        <w:t>any weeks thereafter which begin in such</w:t>
      </w:r>
      <w:r>
        <w:t xml:space="preserve"> </w:t>
      </w:r>
      <w:r>
        <w:rPr>
          <w:u w:val="single"/>
        </w:rPr>
        <w:t>a week after that begins in this</w:t>
      </w:r>
      <w:r>
        <w:t xml:space="preserve"> period.  </w:t>
      </w:r>
      <w:r>
        <w:rPr>
          <w:u w:val="single"/>
        </w:rPr>
        <w:t>For the purpose of extended benefits in effect after January 31, 2009, for which federal sharing is authorized by Section 2005(a) of Public Law 111</w:t>
      </w:r>
      <w:r>
        <w:rPr>
          <w:u w:val="single"/>
        </w:rPr>
        <w:noBreakHyphen/>
        <w:t>5, ‘eligibility period’ includes weeks within the extended benefit period if the individual exhausts emergency unemployment compensation within the extended benefit period regardless of whether weeks in the individual’s benefit year are within the extended benefits period.</w:t>
      </w:r>
      <w:r>
        <w:t>”</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35</w:t>
      </w:r>
      <w:r>
        <w:noBreakHyphen/>
        <w:t>440 of the 1976 Code is amended to read:</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35</w:t>
      </w:r>
      <w:r>
        <w:noBreakHyphen/>
        <w:t>440.</w:t>
      </w:r>
      <w:r>
        <w:tab/>
      </w:r>
      <w:r>
        <w:rPr>
          <w:strike/>
          <w:szCs w:val="24"/>
        </w:rPr>
        <w:t>(1)</w:t>
      </w:r>
      <w:r>
        <w:rPr>
          <w:szCs w:val="24"/>
          <w:u w:val="single"/>
        </w:rPr>
        <w:t>(A)</w:t>
      </w:r>
      <w:r>
        <w:rPr>
          <w:szCs w:val="24"/>
        </w:rPr>
        <w:tab/>
        <w:t xml:space="preserve">The total extended benefit amount payable to </w:t>
      </w:r>
      <w:r>
        <w:rPr>
          <w:strike/>
          <w:szCs w:val="24"/>
        </w:rPr>
        <w:t>any</w:t>
      </w:r>
      <w:r>
        <w:rPr>
          <w:szCs w:val="24"/>
        </w:rPr>
        <w:t xml:space="preserve"> </w:t>
      </w:r>
      <w:r>
        <w:rPr>
          <w:szCs w:val="24"/>
          <w:u w:val="single"/>
        </w:rPr>
        <w:t>an</w:t>
      </w:r>
      <w:r>
        <w:rPr>
          <w:szCs w:val="24"/>
        </w:rPr>
        <w:t xml:space="preserve"> eligible individual with respect to his applicable benefit year is the least of the following amounts: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Fifty percent of the total amount of regular benefits which were payable to him under Chapters 27 through 41 of this title in his applicable benefit year.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Thirteen times his weekly benefit amount which was payable to him under Chapters 27 through 41 of this title for a week of total unemployment in the applicable benefit year. </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(2)</w:t>
      </w:r>
      <w:r>
        <w:rPr>
          <w:szCs w:val="24"/>
          <w:u w:val="single"/>
        </w:rPr>
        <w:t>(B)</w:t>
      </w:r>
      <w:r>
        <w:rPr>
          <w:szCs w:val="24"/>
        </w:rPr>
        <w:tab/>
        <w:t xml:space="preserve">Notwithstanding </w:t>
      </w:r>
      <w:r>
        <w:rPr>
          <w:strike/>
          <w:szCs w:val="24"/>
        </w:rPr>
        <w:t>any other</w:t>
      </w:r>
      <w:r>
        <w:rPr>
          <w:szCs w:val="24"/>
        </w:rPr>
        <w:t xml:space="preserve"> </w:t>
      </w:r>
      <w:r>
        <w:rPr>
          <w:szCs w:val="24"/>
          <w:u w:val="single"/>
        </w:rPr>
        <w:t>another</w:t>
      </w:r>
      <w:r>
        <w:rPr>
          <w:szCs w:val="24"/>
        </w:rPr>
        <w:t xml:space="preserve"> provision of Chapters 27 through 41 of this Title, if the benefit year of </w:t>
      </w:r>
      <w:r>
        <w:rPr>
          <w:strike/>
          <w:szCs w:val="24"/>
        </w:rPr>
        <w:t>any</w:t>
      </w:r>
      <w:r>
        <w:rPr>
          <w:szCs w:val="24"/>
        </w:rPr>
        <w:t xml:space="preserve"> </w:t>
      </w:r>
      <w:r>
        <w:rPr>
          <w:szCs w:val="24"/>
          <w:u w:val="single"/>
        </w:rPr>
        <w:t>an</w:t>
      </w:r>
      <w:r>
        <w:rPr>
          <w:szCs w:val="24"/>
        </w:rPr>
        <w:t xml:space="preserve"> individual ends within an extended benefit period, the remaining balance of extended benefits that </w:t>
      </w:r>
      <w:r>
        <w:rPr>
          <w:strike/>
          <w:szCs w:val="24"/>
        </w:rPr>
        <w:t>such</w:t>
      </w:r>
      <w:r>
        <w:rPr>
          <w:szCs w:val="24"/>
        </w:rPr>
        <w:t xml:space="preserve"> </w:t>
      </w:r>
      <w:r>
        <w:rPr>
          <w:szCs w:val="24"/>
          <w:u w:val="single"/>
        </w:rPr>
        <w:t>this</w:t>
      </w:r>
      <w:r>
        <w:rPr>
          <w:szCs w:val="24"/>
        </w:rPr>
        <w:t xml:space="preserve"> individual would, but for this section, be entitled to receive in that extended benefit period, with respect to weeks of unemployment beginning after the end of the benefit year, must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w:t>
      </w:r>
      <w:r>
        <w:rPr>
          <w:szCs w:val="24"/>
        </w:rPr>
        <w:t xml:space="preserve"> by the product of the number of weeks for which the individual received </w:t>
      </w:r>
      <w:r>
        <w:rPr>
          <w:strike/>
          <w:szCs w:val="24"/>
        </w:rPr>
        <w:t>any amounts</w:t>
      </w:r>
      <w:r>
        <w:rPr>
          <w:szCs w:val="24"/>
        </w:rPr>
        <w:t xml:space="preserve"> </w:t>
      </w:r>
      <w:r>
        <w:rPr>
          <w:szCs w:val="24"/>
          <w:u w:val="single"/>
        </w:rPr>
        <w:t>an amount</w:t>
      </w:r>
      <w:r>
        <w:rPr>
          <w:szCs w:val="24"/>
        </w:rPr>
        <w:t xml:space="preserve"> as trade readjustment allowances within that benefit year, multiplied by the individual’s weekly benefit amount for extended benefits.</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Effective with respect to weeks beginning in a high</w:t>
      </w:r>
      <w:r>
        <w:rPr>
          <w:szCs w:val="24"/>
          <w:u w:val="single"/>
        </w:rPr>
        <w:noBreakHyphen/>
        <w:t>unemployment period, the total extended benefit amount payable to an eligible individual with respect to the applicable benefit year is the least of the following amounts:</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Eighty percent of the total amount of regular benefits that were payable to the individual pursuant to this section in the individual’s applicable benefit year; or</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Twenty times the individual’s average weekly benefit amount that was payable to the individual pursuant to this section for a week of total unemployment in the applicable benefit year.</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(D)</w:t>
      </w:r>
      <w:r>
        <w:rPr>
          <w:szCs w:val="24"/>
        </w:rPr>
        <w:tab/>
      </w:r>
      <w:r>
        <w:rPr>
          <w:szCs w:val="24"/>
          <w:u w:val="single"/>
        </w:rPr>
        <w:t>For the purpose of subsection (C) of this section, ‘high</w:t>
      </w:r>
      <w:r>
        <w:rPr>
          <w:szCs w:val="24"/>
          <w:u w:val="single"/>
        </w:rPr>
        <w:noBreakHyphen/>
        <w:t>unemployment period’ means a period during which an extended benefit period would be in effect if Section 41</w:t>
      </w:r>
      <w:r>
        <w:rPr>
          <w:szCs w:val="24"/>
          <w:u w:val="single"/>
        </w:rPr>
        <w:noBreakHyphen/>
        <w:t>35</w:t>
      </w:r>
      <w:r>
        <w:rPr>
          <w:szCs w:val="24"/>
          <w:u w:val="single"/>
        </w:rPr>
        <w:noBreakHyphen/>
        <w:t>330(A)(1)(a) of this chapter were applied by substituting ‘eight percent’ for ‘six and one</w:t>
      </w:r>
      <w:r>
        <w:rPr>
          <w:szCs w:val="24"/>
          <w:u w:val="single"/>
        </w:rPr>
        <w:noBreakHyphen/>
        <w:t>half percent’.</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r>
      <w:r>
        <w:rPr>
          <w:szCs w:val="24"/>
          <w:u w:val="single"/>
        </w:rPr>
        <w:t>Subsections (C) and (D) of the section take effect after January 31, 2009, and cease to be in effect the week ending three weeks prior to the last week for which federal sharing is authorized by Section 2005(a) of Public Law 111</w:t>
      </w:r>
      <w:r>
        <w:rPr>
          <w:szCs w:val="24"/>
          <w:u w:val="single"/>
        </w:rPr>
        <w:noBreakHyphen/>
        <w:t>5.</w:t>
      </w:r>
      <w:r>
        <w:rPr>
          <w:szCs w:val="24"/>
        </w:rPr>
        <w:t>”</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54D03" w:rsidRDefault="00A5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54D03" w:rsidRDefault="00011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4D03" w:rsidRDefault="00A54D03">
      <w:pPr>
        <w:suppressAutoHyphens/>
      </w:pPr>
    </w:p>
    <w:sectPr w:rsidR="00A54D03" w:rsidSect="00A54D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D03" w:rsidRDefault="00011A1A">
      <w:r>
        <w:separator/>
      </w:r>
    </w:p>
  </w:endnote>
  <w:endnote w:type="continuationSeparator" w:id="0">
    <w:p w:rsidR="00A54D03" w:rsidRDefault="0001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458A63-BA50-4435-BDA4-329B010BBA81}"/>
    <w:embedBold r:id="rId2" w:fontKey="{C8CC1D6C-9520-410C-B1AF-9556A5D0DA39}"/>
  </w:font>
  <w:font w:name="Calibri">
    <w:panose1 w:val="020F0502020204030204"/>
    <w:charset w:val="00"/>
    <w:family w:val="swiss"/>
    <w:pitch w:val="variable"/>
    <w:sig w:usb0="E10002FF" w:usb1="4000ACFF" w:usb2="00000009" w:usb3="00000000" w:csb0="0000019F" w:csb1="00000000"/>
    <w:embedRegular r:id="rId3" w:fontKey="{0A751B40-7C90-42C0-9963-D46D7CAF37E8}"/>
  </w:font>
  <w:font w:name="Tahoma">
    <w:panose1 w:val="020B0604030504040204"/>
    <w:charset w:val="00"/>
    <w:family w:val="swiss"/>
    <w:pitch w:val="variable"/>
    <w:sig w:usb0="21002A87" w:usb1="80000000" w:usb2="00000008" w:usb3="00000000" w:csb0="000101FF" w:csb1="00000000"/>
    <w:embedRegular r:id="rId4" w:fontKey="{800EF914-B947-47F9-84CA-199384C46651}"/>
  </w:font>
  <w:font w:name="Cambria">
    <w:panose1 w:val="02040503050406030204"/>
    <w:charset w:val="00"/>
    <w:family w:val="roman"/>
    <w:pitch w:val="variable"/>
    <w:sig w:usb0="E00002FF" w:usb1="400004FF" w:usb2="00000000" w:usb3="00000000" w:csb0="0000019F" w:csb1="00000000"/>
    <w:embedRegular r:id="rId5" w:fontKey="{67BBFE4F-97F7-4B7E-B1EC-C29A7B7BA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D03" w:rsidRDefault="00011A1A">
    <w:pPr>
      <w:pStyle w:val="Footer"/>
      <w:tabs>
        <w:tab w:val="clear" w:pos="4680"/>
        <w:tab w:val="clear" w:pos="9360"/>
        <w:tab w:val="center" w:pos="2995"/>
      </w:tabs>
      <w:spacing w:before="120"/>
    </w:pPr>
    <w:r>
      <w:t>[3940]</w:t>
    </w:r>
    <w:r>
      <w:tab/>
    </w:r>
    <w:r w:rsidR="005A584E">
      <w:fldChar w:fldCharType="begin"/>
    </w:r>
    <w:r w:rsidR="005A584E">
      <w:instrText xml:space="preserve"> PAGE  \* MERGEFORMAT </w:instrText>
    </w:r>
    <w:r w:rsidR="005A584E">
      <w:fldChar w:fldCharType="separate"/>
    </w:r>
    <w:r w:rsidR="005A584E">
      <w:rPr>
        <w:noProof/>
      </w:rPr>
      <w:t>1</w:t>
    </w:r>
    <w:r w:rsidR="005A58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D03" w:rsidRDefault="00011A1A">
      <w:r>
        <w:separator/>
      </w:r>
    </w:p>
  </w:footnote>
  <w:footnote w:type="continuationSeparator" w:id="0">
    <w:p w:rsidR="00A54D03" w:rsidRDefault="00011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02AB09"/>
    <w:docVar w:name="CoverBillType" w:val="b"/>
    <w:docVar w:name="docpath" w:val="L:\Council\bills\AGM\19402AB09.DOCX"/>
    <w:docVar w:name="dvBillNumber" w:val="3940"/>
    <w:docVar w:name="dvBillNumberPrefix" w:val="H. "/>
    <w:docVar w:name="dvOriginalBody" w:val="House"/>
    <w:docVar w:name="dvSteno" w:val="AGM"/>
    <w:docVar w:name="NameofBody" w:val="h"/>
    <w:docVar w:name="vgroup2" w:val="Council"/>
  </w:docVars>
  <w:rsids>
    <w:rsidRoot w:val="00A54D03"/>
    <w:rsid w:val="00011A1A"/>
    <w:rsid w:val="003D2E28"/>
    <w:rsid w:val="00567AE3"/>
    <w:rsid w:val="005A584E"/>
    <w:rsid w:val="005E2A8D"/>
    <w:rsid w:val="0089186A"/>
    <w:rsid w:val="009A1A70"/>
    <w:rsid w:val="00A54D03"/>
    <w:rsid w:val="00F82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EAA4C8-8A4D-4E77-BD7F-6AE7B1FC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D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54D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D03"/>
    <w:rPr>
      <w:rFonts w:eastAsia="Times New Roman" w:cs="Times New Roman"/>
      <w:b/>
      <w:sz w:val="30"/>
      <w:szCs w:val="20"/>
    </w:rPr>
  </w:style>
  <w:style w:type="paragraph" w:styleId="Header">
    <w:name w:val="header"/>
    <w:basedOn w:val="Normal"/>
    <w:link w:val="HeaderChar"/>
    <w:uiPriority w:val="99"/>
    <w:semiHidden/>
    <w:unhideWhenUsed/>
    <w:rsid w:val="00A54D03"/>
    <w:pPr>
      <w:tabs>
        <w:tab w:val="center" w:pos="4320"/>
        <w:tab w:val="right" w:pos="8640"/>
      </w:tabs>
    </w:pPr>
  </w:style>
  <w:style w:type="character" w:customStyle="1" w:styleId="HeaderChar">
    <w:name w:val="Header Char"/>
    <w:basedOn w:val="DefaultParagraphFont"/>
    <w:link w:val="Header"/>
    <w:uiPriority w:val="99"/>
    <w:semiHidden/>
    <w:rsid w:val="00A54D03"/>
    <w:rPr>
      <w:rFonts w:eastAsia="Times New Roman" w:cs="Times New Roman"/>
      <w:szCs w:val="20"/>
    </w:rPr>
  </w:style>
  <w:style w:type="paragraph" w:styleId="Footer">
    <w:name w:val="footer"/>
    <w:basedOn w:val="Normal"/>
    <w:link w:val="FooterChar"/>
    <w:uiPriority w:val="99"/>
    <w:unhideWhenUsed/>
    <w:rsid w:val="00A54D03"/>
    <w:pPr>
      <w:tabs>
        <w:tab w:val="center" w:pos="4680"/>
        <w:tab w:val="right" w:pos="9360"/>
      </w:tabs>
    </w:pPr>
  </w:style>
  <w:style w:type="character" w:customStyle="1" w:styleId="FooterChar">
    <w:name w:val="Footer Char"/>
    <w:basedOn w:val="DefaultParagraphFont"/>
    <w:link w:val="Footer"/>
    <w:uiPriority w:val="99"/>
    <w:rsid w:val="00A54D03"/>
    <w:rPr>
      <w:rFonts w:eastAsia="Times New Roman" w:cs="Times New Roman"/>
      <w:szCs w:val="20"/>
    </w:rPr>
  </w:style>
  <w:style w:type="character" w:styleId="PageNumber">
    <w:name w:val="page number"/>
    <w:basedOn w:val="DefaultParagraphFont"/>
    <w:uiPriority w:val="99"/>
    <w:semiHidden/>
    <w:unhideWhenUsed/>
    <w:rsid w:val="00A54D03"/>
  </w:style>
  <w:style w:type="character" w:styleId="LineNumber">
    <w:name w:val="line number"/>
    <w:basedOn w:val="DefaultParagraphFont"/>
    <w:uiPriority w:val="99"/>
    <w:semiHidden/>
    <w:unhideWhenUsed/>
    <w:rsid w:val="00A54D03"/>
  </w:style>
  <w:style w:type="paragraph" w:customStyle="1" w:styleId="BillDots">
    <w:name w:val="Bill Dots"/>
    <w:basedOn w:val="Normal"/>
    <w:qFormat/>
    <w:rsid w:val="00A54D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54D03"/>
    <w:pPr>
      <w:tabs>
        <w:tab w:val="right" w:pos="5904"/>
      </w:tabs>
    </w:pPr>
  </w:style>
  <w:style w:type="paragraph" w:styleId="BalloonText">
    <w:name w:val="Balloon Text"/>
    <w:basedOn w:val="Normal"/>
    <w:link w:val="BalloonTextChar"/>
    <w:uiPriority w:val="99"/>
    <w:semiHidden/>
    <w:unhideWhenUsed/>
    <w:rsid w:val="00A54D03"/>
    <w:rPr>
      <w:rFonts w:ascii="Tahoma" w:hAnsi="Tahoma" w:cs="Tahoma"/>
      <w:sz w:val="16"/>
      <w:szCs w:val="16"/>
    </w:rPr>
  </w:style>
  <w:style w:type="character" w:customStyle="1" w:styleId="BalloonTextChar">
    <w:name w:val="Balloon Text Char"/>
    <w:basedOn w:val="DefaultParagraphFont"/>
    <w:link w:val="BalloonText"/>
    <w:uiPriority w:val="99"/>
    <w:semiHidden/>
    <w:rsid w:val="00A54D03"/>
    <w:rPr>
      <w:rFonts w:ascii="Tahoma" w:eastAsia="Times New Roman" w:hAnsi="Tahoma" w:cs="Tahoma"/>
      <w:sz w:val="16"/>
      <w:szCs w:val="16"/>
    </w:rPr>
  </w:style>
  <w:style w:type="character" w:styleId="Hyperlink">
    <w:name w:val="Hyperlink"/>
    <w:basedOn w:val="DefaultParagraphFont"/>
    <w:uiPriority w:val="99"/>
    <w:unhideWhenUsed/>
    <w:rsid w:val="00A54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0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19E0-5AC5-4D44-AD36-46D62AC1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1302</Words>
  <Characters>6848</Characters>
  <Application>Microsoft Office Word</Application>
  <DocSecurity>0</DocSecurity>
  <Lines>186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3940: Unemployment benefits - South Carolina Legislature Online</dc:title>
  <dc:subject/>
  <dc:creator>ANGIE MORGAN</dc:creator>
  <cp:keywords/>
  <dc:description/>
  <cp:lastModifiedBy>N Cumfer</cp:lastModifiedBy>
  <cp:revision>9</cp:revision>
  <cp:lastPrinted>2009-04-20T15:22:00Z</cp:lastPrinted>
  <dcterms:created xsi:type="dcterms:W3CDTF">2009-04-22T19:33:00Z</dcterms:created>
  <dcterms:modified xsi:type="dcterms:W3CDTF">2014-11-24T16:15:00Z</dcterms:modified>
</cp:coreProperties>
</file>