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F81" w:rsidRDefault="0060400B">
      <w:pPr>
        <w:widowControl w:val="0"/>
        <w:jc w:val="center"/>
      </w:pPr>
      <w:bookmarkStart w:id="0" w:name="_GoBack"/>
      <w:bookmarkEnd w:id="0"/>
      <w:r>
        <w:rPr>
          <w:b/>
        </w:rPr>
        <w:t>South Carolina General Assembly</w:t>
      </w:r>
    </w:p>
    <w:p w:rsidR="00527F81" w:rsidRDefault="0060400B">
      <w:pPr>
        <w:widowControl w:val="0"/>
        <w:jc w:val="center"/>
      </w:pPr>
      <w:r>
        <w:t>118th Session, 2009-2010</w:t>
      </w:r>
    </w:p>
    <w:p w:rsidR="00527F81" w:rsidRDefault="00527F81">
      <w:pPr>
        <w:widowControl w:val="0"/>
        <w:jc w:val="left"/>
      </w:pPr>
    </w:p>
    <w:p w:rsidR="00527F81" w:rsidRDefault="0060400B">
      <w:pPr>
        <w:widowControl w:val="0"/>
        <w:jc w:val="left"/>
        <w:rPr>
          <w:b/>
        </w:rPr>
      </w:pPr>
      <w:r>
        <w:rPr>
          <w:b/>
        </w:rPr>
        <w:t>H. 3993</w:t>
      </w:r>
    </w:p>
    <w:p w:rsidR="00527F81" w:rsidRDefault="00527F81">
      <w:pPr>
        <w:widowControl w:val="0"/>
        <w:jc w:val="left"/>
        <w:rPr>
          <w:b/>
        </w:rPr>
      </w:pPr>
    </w:p>
    <w:p w:rsidR="00527F81" w:rsidRDefault="0060400B">
      <w:pPr>
        <w:widowControl w:val="0"/>
        <w:jc w:val="left"/>
      </w:pPr>
      <w:r>
        <w:rPr>
          <w:b/>
        </w:rPr>
        <w:t>STATUS INFORMATION</w:t>
      </w:r>
    </w:p>
    <w:p w:rsidR="00527F81" w:rsidRDefault="00527F81">
      <w:pPr>
        <w:widowControl w:val="0"/>
        <w:jc w:val="left"/>
      </w:pPr>
    </w:p>
    <w:p w:rsidR="00527F81" w:rsidRDefault="0060400B">
      <w:pPr>
        <w:widowControl w:val="0"/>
        <w:jc w:val="left"/>
      </w:pPr>
      <w:r>
        <w:t>General Bill</w:t>
      </w:r>
    </w:p>
    <w:p w:rsidR="00527F81" w:rsidRDefault="0060400B">
      <w:pPr>
        <w:widowControl w:val="0"/>
        <w:jc w:val="left"/>
      </w:pPr>
      <w:r>
        <w:t>Sponsors: Reps. Loftis, Parker, Hardwick, Merrill, Allison, Miller and Umphlett</w:t>
      </w:r>
    </w:p>
    <w:p w:rsidR="00527F81" w:rsidRDefault="0060400B">
      <w:pPr>
        <w:widowControl w:val="0"/>
        <w:jc w:val="left"/>
      </w:pPr>
      <w:r>
        <w:t>Document Path: l:\council\bills\bbm\9358htc09.docx</w:t>
      </w:r>
    </w:p>
    <w:p w:rsidR="00527F81" w:rsidRDefault="0060400B">
      <w:pPr>
        <w:widowControl w:val="0"/>
        <w:jc w:val="left"/>
      </w:pPr>
      <w:r>
        <w:t>Companion/Similar bill(s): 405</w:t>
      </w:r>
    </w:p>
    <w:p w:rsidR="00527F81" w:rsidRDefault="00527F81">
      <w:pPr>
        <w:widowControl w:val="0"/>
        <w:jc w:val="left"/>
      </w:pPr>
    </w:p>
    <w:p w:rsidR="00527F81" w:rsidRDefault="0060400B">
      <w:pPr>
        <w:widowControl w:val="0"/>
        <w:jc w:val="left"/>
      </w:pPr>
      <w:r>
        <w:t>Introduced in the House on April 29, 2009</w:t>
      </w:r>
    </w:p>
    <w:p w:rsidR="00527F81" w:rsidRDefault="0060400B">
      <w:pPr>
        <w:widowControl w:val="0"/>
        <w:jc w:val="left"/>
      </w:pPr>
      <w:r>
        <w:t xml:space="preserve">Currently residing in the House Committee on </w:t>
      </w:r>
      <w:r>
        <w:rPr>
          <w:b/>
        </w:rPr>
        <w:t>Ways and Means</w:t>
      </w:r>
    </w:p>
    <w:p w:rsidR="00527F81" w:rsidRDefault="00527F81">
      <w:pPr>
        <w:widowControl w:val="0"/>
        <w:jc w:val="left"/>
      </w:pPr>
    </w:p>
    <w:p w:rsidR="00527F81" w:rsidRDefault="0060400B">
      <w:pPr>
        <w:widowControl w:val="0"/>
        <w:jc w:val="left"/>
      </w:pPr>
      <w:r>
        <w:t>Summary: Property tax exemption</w:t>
      </w:r>
    </w:p>
    <w:p w:rsidR="00527F81" w:rsidRDefault="00527F81">
      <w:pPr>
        <w:widowControl w:val="0"/>
        <w:jc w:val="left"/>
      </w:pPr>
    </w:p>
    <w:p w:rsidR="00527F81" w:rsidRDefault="00527F81">
      <w:pPr>
        <w:widowControl w:val="0"/>
        <w:jc w:val="left"/>
      </w:pPr>
    </w:p>
    <w:p w:rsidR="00527F81" w:rsidRDefault="0060400B">
      <w:pPr>
        <w:widowControl w:val="0"/>
        <w:tabs>
          <w:tab w:val="center" w:pos="590"/>
          <w:tab w:val="center" w:pos="1440"/>
          <w:tab w:val="left" w:pos="1872"/>
          <w:tab w:val="left" w:pos="9187"/>
        </w:tabs>
        <w:jc w:val="left"/>
      </w:pPr>
      <w:r>
        <w:rPr>
          <w:b/>
        </w:rPr>
        <w:t>HISTORY OF LEGISLATIVE ACTIONS</w:t>
      </w:r>
    </w:p>
    <w:p w:rsidR="00527F81" w:rsidRDefault="00527F81">
      <w:pPr>
        <w:widowControl w:val="0"/>
        <w:tabs>
          <w:tab w:val="center" w:pos="590"/>
          <w:tab w:val="center" w:pos="1440"/>
          <w:tab w:val="left" w:pos="1872"/>
          <w:tab w:val="left" w:pos="9187"/>
        </w:tabs>
        <w:jc w:val="left"/>
      </w:pPr>
    </w:p>
    <w:p w:rsidR="00527F81" w:rsidRDefault="0060400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7F81" w:rsidRDefault="0060400B">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7" w:history="1">
        <w:r w:rsidRPr="00855046">
          <w:rPr>
            <w:rStyle w:val="Hyperlink"/>
          </w:rPr>
          <w:t>HJ</w:t>
        </w:r>
      </w:hyperlink>
      <w:r>
        <w:noBreakHyphen/>
        <w:t>100</w:t>
      </w:r>
    </w:p>
    <w:p w:rsidR="00527F81" w:rsidRDefault="0060400B">
      <w:pPr>
        <w:widowControl w:val="0"/>
        <w:tabs>
          <w:tab w:val="right" w:pos="1008"/>
          <w:tab w:val="left" w:pos="1152"/>
          <w:tab w:val="left" w:pos="1872"/>
          <w:tab w:val="left" w:pos="9187"/>
        </w:tabs>
        <w:ind w:left="2088" w:hanging="2088"/>
        <w:jc w:val="left"/>
      </w:pPr>
      <w:r>
        <w:tab/>
        <w:t>4/29/2009</w:t>
      </w:r>
      <w:r>
        <w:tab/>
        <w:t>House</w:t>
      </w:r>
      <w:r>
        <w:tab/>
        <w:t xml:space="preserve">Referred to Ways and Means </w:t>
      </w:r>
      <w:hyperlink r:id="rId8" w:history="1">
        <w:r w:rsidRPr="00855046">
          <w:rPr>
            <w:rStyle w:val="Hyperlink"/>
          </w:rPr>
          <w:t>HJ</w:t>
        </w:r>
      </w:hyperlink>
      <w:r>
        <w:noBreakHyphen/>
        <w:t>100</w:t>
      </w:r>
    </w:p>
    <w:p w:rsidR="00527F81" w:rsidRDefault="00527F81">
      <w:pPr>
        <w:widowControl w:val="0"/>
        <w:tabs>
          <w:tab w:val="right" w:pos="1008"/>
          <w:tab w:val="left" w:pos="1152"/>
          <w:tab w:val="left" w:pos="1872"/>
          <w:tab w:val="left" w:pos="9187"/>
        </w:tabs>
        <w:ind w:left="2088" w:hanging="2088"/>
        <w:jc w:val="left"/>
      </w:pPr>
    </w:p>
    <w:p w:rsidR="00527F81" w:rsidRDefault="00527F81">
      <w:pPr>
        <w:widowControl w:val="0"/>
        <w:tabs>
          <w:tab w:val="right" w:pos="1008"/>
          <w:tab w:val="left" w:pos="1152"/>
          <w:tab w:val="left" w:pos="1872"/>
          <w:tab w:val="left" w:pos="9187"/>
        </w:tabs>
        <w:ind w:left="2088" w:hanging="2088"/>
        <w:jc w:val="left"/>
      </w:pPr>
    </w:p>
    <w:p w:rsidR="00527F81" w:rsidRDefault="0060400B">
      <w:pPr>
        <w:widowControl w:val="0"/>
        <w:jc w:val="left"/>
      </w:pPr>
      <w:r>
        <w:rPr>
          <w:b/>
        </w:rPr>
        <w:t>VERSIONS OF THIS BILL</w:t>
      </w:r>
    </w:p>
    <w:p w:rsidR="00527F81" w:rsidRDefault="00527F81">
      <w:pPr>
        <w:widowControl w:val="0"/>
        <w:jc w:val="left"/>
      </w:pPr>
    </w:p>
    <w:p w:rsidR="00527F81" w:rsidRDefault="008264E4">
      <w:pPr>
        <w:widowControl w:val="0"/>
        <w:jc w:val="left"/>
      </w:pPr>
      <w:hyperlink r:id="rId9" w:history="1">
        <w:r w:rsidR="0060400B">
          <w:rPr>
            <w:rStyle w:val="Hyperlink"/>
          </w:rPr>
          <w:t>4/29/2009</w:t>
        </w:r>
      </w:hyperlink>
    </w:p>
    <w:p w:rsidR="00527F81" w:rsidRDefault="00527F81"/>
    <w:p w:rsidR="00527F81" w:rsidRDefault="00527F81">
      <w:pPr>
        <w:sectPr w:rsidR="00527F81">
          <w:pgSz w:w="12240" w:h="15840" w:code="1"/>
          <w:pgMar w:top="1080" w:right="1440" w:bottom="1080" w:left="1440" w:header="720" w:footer="720" w:gutter="0"/>
          <w:cols w:space="720"/>
          <w:noEndnote/>
          <w:docGrid w:linePitch="360"/>
        </w:sectPr>
      </w:pPr>
    </w:p>
    <w:p w:rsidR="00527F81" w:rsidRDefault="00527F81">
      <w:pPr>
        <w:pStyle w:val="BillDots"/>
      </w:pPr>
    </w:p>
    <w:p w:rsidR="00527F81" w:rsidRDefault="00527F81">
      <w:pPr>
        <w:pStyle w:val="Numbersforbill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CLARIFY THAT A WATERCRAFT AND ITS MOTOR IS NOT ELIGIBLE FOR THE COUNTY OPTION PARTIAL PROPERTY TAX EXEMPTION IF THE BOAT OR WATERCRAFT IS CLASSIFIED AS A PRIMARY OR SECONDARY RESIDENCE FOR PROPERTY TAX PURPOSES; AND TO AMEND SECTION 12</w:t>
      </w:r>
      <w:r>
        <w:noBreakHyphen/>
        <w:t>37</w:t>
      </w:r>
      <w:r>
        <w:noBreakHyphen/>
        <w:t>714, AS AMENDED, RELATING TO BOATS WITH A SITUS IN THIS STATE FOR PURPOSES OF IMPOSING THE PROPERTY TAX, SO AS TO PROVIDE THAT THE GOVERNING BODY OF A COUNTY BY ORDINANCE MAY PROVIDE THAT A BOAT, INCLUDING ITS MOTOR IF THE MOTOR IS SEPARATELY TAXED, IS SUBJECT TO PROPERTY TAX IF IT IS WITHIN THIS STATE FOR ONE HUNDRED EIGHTY DAYS IN THE AGGREGATE, REGARDLESS OF THE NUMBER OF CONSECUTIVE DAYS.</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Pr>
          <w:color w:val="000000" w:themeColor="text1"/>
          <w:szCs w:val="22"/>
          <w:u w:color="000000" w:themeColor="text1"/>
        </w:rPr>
        <w:t>Section 12</w:t>
      </w:r>
      <w:r>
        <w:rPr>
          <w:color w:val="000000" w:themeColor="text1"/>
          <w:szCs w:val="22"/>
          <w:u w:color="000000" w:themeColor="text1"/>
        </w:rPr>
        <w:noBreakHyphen/>
        <w:t>37</w:t>
      </w:r>
      <w:r>
        <w:rPr>
          <w:color w:val="000000" w:themeColor="text1"/>
          <w:szCs w:val="22"/>
          <w:u w:color="000000" w:themeColor="text1"/>
        </w:rPr>
        <w:noBreakHyphen/>
        <w:t>220(B)(38)(b) of the 1976 Code is amended to read:</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Pr>
          <w:rFonts w:eastAsiaTheme="minorHAnsi"/>
          <w:color w:val="000000" w:themeColor="text1"/>
          <w:szCs w:val="22"/>
          <w:u w:color="000000" w:themeColor="text1"/>
        </w:rPr>
        <w:t>(b)</w:t>
      </w:r>
      <w:r>
        <w:rPr>
          <w:rFonts w:eastAsiaTheme="minorHAnsi"/>
          <w:color w:val="000000" w:themeColor="text1"/>
          <w:szCs w:val="22"/>
          <w:u w:color="000000" w:themeColor="text1"/>
        </w:rPr>
        <w:tab/>
        <w:t>By ordinance, a governing body of a county may exempt from the property tax</w:t>
      </w:r>
      <w:r>
        <w:rPr>
          <w:rFonts w:eastAsiaTheme="minorHAnsi"/>
          <w:strike/>
          <w:color w:val="000000" w:themeColor="text1"/>
          <w:szCs w:val="22"/>
          <w:u w:color="000000" w:themeColor="text1"/>
        </w:rPr>
        <w:t>, forty</w:t>
      </w:r>
      <w:r>
        <w:rPr>
          <w:rFonts w:eastAsiaTheme="minorHAnsi"/>
          <w:strike/>
          <w:color w:val="000000" w:themeColor="text1"/>
          <w:szCs w:val="22"/>
          <w:u w:color="000000" w:themeColor="text1"/>
        </w:rPr>
        <w:noBreakHyphen/>
        <w:t>two and 75/100</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42.75</w:t>
      </w:r>
      <w:r>
        <w:rPr>
          <w:rFonts w:eastAsiaTheme="minorHAnsi"/>
          <w:color w:val="000000" w:themeColor="text1"/>
          <w:szCs w:val="22"/>
          <w:u w:color="000000" w:themeColor="text1"/>
        </w:rPr>
        <w:t xml:space="preserve"> percent of the fair market value of a watercraft and its motor.  This exemption for a watercraft motor applies whether the motor is located in, attached to, or detached from the watercraft.  </w:t>
      </w:r>
      <w:r>
        <w:rPr>
          <w:rFonts w:eastAsiaTheme="minorHAnsi"/>
          <w:color w:val="000000" w:themeColor="text1"/>
          <w:szCs w:val="22"/>
          <w:u w:val="single" w:color="000000" w:themeColor="text1"/>
        </w:rPr>
        <w:t xml:space="preserve">This exemption does not apply to a boat or watercraft </w:t>
      </w:r>
      <w:r>
        <w:rPr>
          <w:color w:val="000000" w:themeColor="text1"/>
          <w:szCs w:val="22"/>
          <w:u w:val="single" w:color="000000" w:themeColor="text1"/>
        </w:rPr>
        <w:t>classified for property tax purposes as a primary or secondary residence pursuant to Section 12</w:t>
      </w:r>
      <w:r>
        <w:rPr>
          <w:color w:val="000000" w:themeColor="text1"/>
          <w:szCs w:val="22"/>
          <w:u w:val="single" w:color="000000" w:themeColor="text1"/>
        </w:rPr>
        <w:noBreakHyphen/>
        <w:t>37</w:t>
      </w:r>
      <w:r>
        <w:rPr>
          <w:color w:val="000000" w:themeColor="text1"/>
          <w:szCs w:val="22"/>
          <w:u w:val="single" w:color="000000" w:themeColor="text1"/>
        </w:rPr>
        <w:noBreakHyphen/>
        <w:t>224.</w:t>
      </w:r>
      <w:r>
        <w:rPr>
          <w:color w:val="000000" w:themeColor="text1"/>
          <w:szCs w:val="22"/>
          <w:u w:color="000000" w:themeColor="text1"/>
        </w:rPr>
        <w:t>”</w:t>
      </w:r>
      <w:r>
        <w:rPr>
          <w:color w:val="000000" w:themeColor="text1"/>
          <w:szCs w:val="22"/>
          <w:u w:val="single" w:color="000000" w:themeColor="text1"/>
        </w:rPr>
        <w:t xml:space="preserve"> </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lastRenderedPageBreak/>
        <w:t>SECTION</w:t>
      </w:r>
      <w:r>
        <w:rPr>
          <w:color w:val="000000" w:themeColor="text1"/>
          <w:szCs w:val="22"/>
          <w:u w:color="000000" w:themeColor="text1"/>
        </w:rPr>
        <w:tab/>
        <w:t>2.</w:t>
      </w:r>
      <w:r>
        <w:rPr>
          <w:color w:val="000000" w:themeColor="text1"/>
          <w:szCs w:val="22"/>
          <w:u w:color="000000" w:themeColor="text1"/>
        </w:rPr>
        <w:tab/>
        <w:t>Section 12</w:t>
      </w:r>
      <w:r>
        <w:rPr>
          <w:color w:val="000000" w:themeColor="text1"/>
          <w:szCs w:val="22"/>
          <w:u w:color="000000" w:themeColor="text1"/>
        </w:rPr>
        <w:noBreakHyphen/>
        <w:t>37</w:t>
      </w:r>
      <w:r>
        <w:rPr>
          <w:color w:val="000000" w:themeColor="text1"/>
          <w:szCs w:val="22"/>
          <w:u w:color="000000" w:themeColor="text1"/>
        </w:rPr>
        <w:noBreakHyphen/>
        <w:t>714(2) of the 1976 Code, as last amended by Act 313 of 2008, is further amended to read:</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Pr>
          <w:color w:val="000000" w:themeColor="text1"/>
          <w:szCs w:val="24"/>
          <w:u w:color="000000" w:themeColor="text1"/>
        </w:rPr>
        <w:t>(2)</w:t>
      </w:r>
      <w:r>
        <w:rPr>
          <w:color w:val="000000" w:themeColor="text1"/>
          <w:szCs w:val="24"/>
          <w:u w:color="000000" w:themeColor="text1"/>
        </w:rPr>
        <w:tab/>
        <w:t xml:space="preserve">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 or upon an ordinance passed by the local governing body, one hundred eighty days in the aggregate in a property tax year </w:t>
      </w:r>
      <w:r>
        <w:rPr>
          <w:color w:val="000000" w:themeColor="text1"/>
          <w:szCs w:val="24"/>
          <w:u w:val="single" w:color="000000" w:themeColor="text1"/>
        </w:rPr>
        <w:t>without regard to number of consecutive days</w:t>
      </w:r>
      <w:r>
        <w:rPr>
          <w:color w:val="000000" w:themeColor="text1"/>
          <w:szCs w:val="24"/>
          <w:u w:color="000000" w:themeColor="text1"/>
        </w:rPr>
        <w:t>.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527F81" w:rsidRDefault="00527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27F81" w:rsidRDefault="0060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F81" w:rsidRDefault="00527F81">
      <w:pPr>
        <w:suppressAutoHyphens/>
      </w:pPr>
    </w:p>
    <w:sectPr w:rsidR="00527F81" w:rsidSect="00527F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F81" w:rsidRDefault="0060400B">
      <w:r>
        <w:separator/>
      </w:r>
    </w:p>
  </w:endnote>
  <w:endnote w:type="continuationSeparator" w:id="0">
    <w:p w:rsidR="00527F81" w:rsidRDefault="0060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9027E9-5C3D-41D9-97BF-9D68142A7032}"/>
    <w:embedBold r:id="rId2" w:fontKey="{C2BC0BB5-8B76-4811-9302-E01AD02AABAC}"/>
  </w:font>
  <w:font w:name="Calibri">
    <w:panose1 w:val="020F0502020204030204"/>
    <w:charset w:val="00"/>
    <w:family w:val="swiss"/>
    <w:pitch w:val="variable"/>
    <w:sig w:usb0="E10002FF" w:usb1="4000ACFF" w:usb2="00000009" w:usb3="00000000" w:csb0="0000019F" w:csb1="00000000"/>
    <w:embedRegular r:id="rId3" w:fontKey="{A80E7606-6063-4EFF-A8B9-0E893BA20945}"/>
  </w:font>
  <w:font w:name="Cambria">
    <w:panose1 w:val="02040503050406030204"/>
    <w:charset w:val="00"/>
    <w:family w:val="roman"/>
    <w:pitch w:val="variable"/>
    <w:sig w:usb0="E00002FF" w:usb1="400004FF" w:usb2="00000000" w:usb3="00000000" w:csb0="0000019F" w:csb1="00000000"/>
    <w:embedRegular r:id="rId4" w:fontKey="{2E7D7C42-5B79-438D-9BB4-8D123E6A2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F81" w:rsidRDefault="0060400B">
    <w:pPr>
      <w:pStyle w:val="Footer"/>
      <w:tabs>
        <w:tab w:val="clear" w:pos="4680"/>
        <w:tab w:val="clear" w:pos="9360"/>
        <w:tab w:val="center" w:pos="2995"/>
      </w:tabs>
      <w:spacing w:before="120"/>
    </w:pPr>
    <w:r>
      <w:t>[3993]</w:t>
    </w:r>
    <w:r>
      <w:tab/>
    </w:r>
    <w:r w:rsidR="008264E4">
      <w:fldChar w:fldCharType="begin"/>
    </w:r>
    <w:r w:rsidR="008264E4">
      <w:instrText xml:space="preserve"> PAGE  \* MERGEFORMAT </w:instrText>
    </w:r>
    <w:r w:rsidR="008264E4">
      <w:fldChar w:fldCharType="separate"/>
    </w:r>
    <w:r w:rsidR="008264E4">
      <w:rPr>
        <w:noProof/>
      </w:rPr>
      <w:t>1</w:t>
    </w:r>
    <w:r w:rsidR="008264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F81" w:rsidRDefault="0060400B">
      <w:r>
        <w:separator/>
      </w:r>
    </w:p>
  </w:footnote>
  <w:footnote w:type="continuationSeparator" w:id="0">
    <w:p w:rsidR="00527F81" w:rsidRDefault="006040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358HTC09"/>
    <w:docVar w:name="CoverBillType" w:val="b"/>
    <w:docVar w:name="docpath" w:val="L:\Council\bills\BBM\9358HTC09.DOCX"/>
    <w:docVar w:name="dvBillNumber" w:val="3993"/>
    <w:docVar w:name="dvBillNumberPrefix" w:val="H. "/>
    <w:docVar w:name="dvOriginalBody" w:val="House"/>
    <w:docVar w:name="dvSteno" w:val="BBM"/>
    <w:docVar w:name="NameofBody" w:val="h"/>
    <w:docVar w:name="vgroup2" w:val="Council"/>
  </w:docVars>
  <w:rsids>
    <w:rsidRoot w:val="00527F81"/>
    <w:rsid w:val="0002428E"/>
    <w:rsid w:val="00527F81"/>
    <w:rsid w:val="0060400B"/>
    <w:rsid w:val="008264E4"/>
    <w:rsid w:val="00855046"/>
    <w:rsid w:val="00A00EB5"/>
    <w:rsid w:val="00A13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BA7701-E240-4C9A-8735-6FC84124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F8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7F8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F81"/>
    <w:rPr>
      <w:rFonts w:eastAsia="Times New Roman" w:cs="Times New Roman"/>
      <w:b/>
      <w:sz w:val="30"/>
      <w:szCs w:val="20"/>
    </w:rPr>
  </w:style>
  <w:style w:type="paragraph" w:styleId="Header">
    <w:name w:val="header"/>
    <w:basedOn w:val="Normal"/>
    <w:link w:val="HeaderChar"/>
    <w:uiPriority w:val="99"/>
    <w:semiHidden/>
    <w:unhideWhenUsed/>
    <w:rsid w:val="00527F81"/>
    <w:pPr>
      <w:tabs>
        <w:tab w:val="center" w:pos="4320"/>
        <w:tab w:val="right" w:pos="8640"/>
      </w:tabs>
    </w:pPr>
  </w:style>
  <w:style w:type="character" w:customStyle="1" w:styleId="HeaderChar">
    <w:name w:val="Header Char"/>
    <w:basedOn w:val="DefaultParagraphFont"/>
    <w:link w:val="Header"/>
    <w:uiPriority w:val="99"/>
    <w:semiHidden/>
    <w:rsid w:val="00527F81"/>
    <w:rPr>
      <w:rFonts w:eastAsia="Times New Roman" w:cs="Times New Roman"/>
      <w:szCs w:val="20"/>
    </w:rPr>
  </w:style>
  <w:style w:type="paragraph" w:styleId="Footer">
    <w:name w:val="footer"/>
    <w:basedOn w:val="Normal"/>
    <w:link w:val="FooterChar"/>
    <w:uiPriority w:val="99"/>
    <w:unhideWhenUsed/>
    <w:rsid w:val="00527F81"/>
    <w:pPr>
      <w:tabs>
        <w:tab w:val="center" w:pos="4680"/>
        <w:tab w:val="right" w:pos="9360"/>
      </w:tabs>
    </w:pPr>
  </w:style>
  <w:style w:type="character" w:customStyle="1" w:styleId="FooterChar">
    <w:name w:val="Footer Char"/>
    <w:basedOn w:val="DefaultParagraphFont"/>
    <w:link w:val="Footer"/>
    <w:uiPriority w:val="99"/>
    <w:rsid w:val="00527F81"/>
    <w:rPr>
      <w:rFonts w:eastAsia="Times New Roman" w:cs="Times New Roman"/>
      <w:szCs w:val="20"/>
    </w:rPr>
  </w:style>
  <w:style w:type="character" w:styleId="PageNumber">
    <w:name w:val="page number"/>
    <w:basedOn w:val="DefaultParagraphFont"/>
    <w:uiPriority w:val="99"/>
    <w:semiHidden/>
    <w:unhideWhenUsed/>
    <w:rsid w:val="00527F81"/>
  </w:style>
  <w:style w:type="character" w:styleId="LineNumber">
    <w:name w:val="line number"/>
    <w:basedOn w:val="DefaultParagraphFont"/>
    <w:uiPriority w:val="99"/>
    <w:semiHidden/>
    <w:unhideWhenUsed/>
    <w:rsid w:val="00527F81"/>
  </w:style>
  <w:style w:type="paragraph" w:customStyle="1" w:styleId="BillDots">
    <w:name w:val="Bill Dots"/>
    <w:basedOn w:val="Normal"/>
    <w:qFormat/>
    <w:rsid w:val="00527F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7F81"/>
    <w:pPr>
      <w:tabs>
        <w:tab w:val="right" w:pos="5904"/>
      </w:tabs>
    </w:pPr>
  </w:style>
  <w:style w:type="character" w:styleId="Hyperlink">
    <w:name w:val="Hyperlink"/>
    <w:basedOn w:val="DefaultParagraphFont"/>
    <w:uiPriority w:val="99"/>
    <w:unhideWhenUsed/>
    <w:rsid w:val="00527F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93_2009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08A7C-5BFF-40A9-950E-562289AB1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2449</Characters>
  <Application>Microsoft Office Word</Application>
  <DocSecurity>0</DocSecurity>
  <Lines>90</Lines>
  <Paragraphs>26</Paragraphs>
  <ScaleCrop>false</ScaleCrop>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3993: Property tax exemption - South Carolina Legislature Online</dc:title>
  <dc:subject/>
  <dc:creator>Brenda Melton</dc:creator>
  <cp:keywords/>
  <dc:description/>
  <cp:lastModifiedBy>N Cumfer</cp:lastModifiedBy>
  <cp:revision>9</cp:revision>
  <cp:lastPrinted>2009-04-28T12:42:00Z</cp:lastPrinted>
  <dcterms:created xsi:type="dcterms:W3CDTF">2009-04-29T16:06:00Z</dcterms:created>
  <dcterms:modified xsi:type="dcterms:W3CDTF">2014-11-24T16:16:00Z</dcterms:modified>
</cp:coreProperties>
</file>