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988" w:rsidRDefault="0043184F">
      <w:pPr>
        <w:widowControl w:val="0"/>
        <w:jc w:val="center"/>
      </w:pPr>
      <w:bookmarkStart w:id="0" w:name="_GoBack"/>
      <w:bookmarkEnd w:id="0"/>
      <w:r>
        <w:rPr>
          <w:b/>
        </w:rPr>
        <w:t>South Carolina General Assembly</w:t>
      </w:r>
    </w:p>
    <w:p w:rsidR="009A1988" w:rsidRDefault="0043184F">
      <w:pPr>
        <w:widowControl w:val="0"/>
        <w:jc w:val="center"/>
      </w:pPr>
      <w:r>
        <w:t>118th Session, 2009-2010</w:t>
      </w:r>
    </w:p>
    <w:p w:rsidR="009A1988" w:rsidRDefault="009A1988">
      <w:pPr>
        <w:widowControl w:val="0"/>
      </w:pPr>
    </w:p>
    <w:p w:rsidR="009A1988" w:rsidRDefault="0043184F">
      <w:pPr>
        <w:widowControl w:val="0"/>
        <w:rPr>
          <w:b/>
        </w:rPr>
      </w:pPr>
      <w:r>
        <w:rPr>
          <w:b/>
        </w:rPr>
        <w:t>S. 790</w:t>
      </w:r>
    </w:p>
    <w:p w:rsidR="009A1988" w:rsidRDefault="009A1988">
      <w:pPr>
        <w:widowControl w:val="0"/>
        <w:rPr>
          <w:b/>
        </w:rPr>
      </w:pPr>
    </w:p>
    <w:p w:rsidR="009A1988" w:rsidRDefault="0043184F">
      <w:pPr>
        <w:widowControl w:val="0"/>
      </w:pPr>
      <w:r>
        <w:rPr>
          <w:b/>
        </w:rPr>
        <w:t>STATUS INFORMATION</w:t>
      </w:r>
    </w:p>
    <w:p w:rsidR="009A1988" w:rsidRDefault="009A1988">
      <w:pPr>
        <w:widowControl w:val="0"/>
      </w:pPr>
    </w:p>
    <w:p w:rsidR="009A1988" w:rsidRDefault="0043184F">
      <w:pPr>
        <w:widowControl w:val="0"/>
      </w:pPr>
      <w:r>
        <w:t>General Bill</w:t>
      </w:r>
    </w:p>
    <w:p w:rsidR="009A1988" w:rsidRDefault="0085300B">
      <w:pPr>
        <w:widowControl w:val="0"/>
      </w:pPr>
      <w:r>
        <w:t>Sponsors: Senators L. Martin and Bryant</w:t>
      </w:r>
    </w:p>
    <w:p w:rsidR="009A1988" w:rsidRDefault="0043184F">
      <w:pPr>
        <w:widowControl w:val="0"/>
      </w:pPr>
      <w:r>
        <w:t>Document Path: l:\s-rules\drafting\lam\008civi.ec.lam.docx</w:t>
      </w:r>
    </w:p>
    <w:p w:rsidR="009A1988" w:rsidRDefault="0043184F">
      <w:pPr>
        <w:widowControl w:val="0"/>
      </w:pPr>
      <w:r>
        <w:t>Companion/Similar bill(s): 3031</w:t>
      </w:r>
    </w:p>
    <w:p w:rsidR="009A1988" w:rsidRDefault="009A1988">
      <w:pPr>
        <w:widowControl w:val="0"/>
      </w:pPr>
    </w:p>
    <w:p w:rsidR="00C04A25" w:rsidRDefault="00C04A25">
      <w:pPr>
        <w:widowControl w:val="0"/>
      </w:pPr>
      <w:r>
        <w:t>Introduced in the Senate on May 6, 2009</w:t>
      </w:r>
    </w:p>
    <w:p w:rsidR="00C04A25" w:rsidRDefault="00C04A25">
      <w:pPr>
        <w:widowControl w:val="0"/>
      </w:pPr>
      <w:r>
        <w:t>Introduced in the House on April 29, 2010</w:t>
      </w:r>
    </w:p>
    <w:p w:rsidR="00C04A25" w:rsidRPr="00C04A25" w:rsidRDefault="00C04A25">
      <w:pPr>
        <w:widowControl w:val="0"/>
      </w:pPr>
      <w:r>
        <w:t xml:space="preserve">Currently residing in the House Committee on </w:t>
      </w:r>
      <w:r w:rsidRPr="00C04A25">
        <w:rPr>
          <w:b/>
        </w:rPr>
        <w:t>Judiciary</w:t>
      </w:r>
    </w:p>
    <w:p w:rsidR="00C04A25" w:rsidRDefault="00C04A25">
      <w:pPr>
        <w:widowControl w:val="0"/>
      </w:pPr>
    </w:p>
    <w:p w:rsidR="009A1988" w:rsidRDefault="0043184F">
      <w:pPr>
        <w:widowControl w:val="0"/>
      </w:pPr>
      <w:r>
        <w:t>Summary: Civil no-contact orders</w:t>
      </w:r>
    </w:p>
    <w:p w:rsidR="009A1988" w:rsidRDefault="009A1988">
      <w:pPr>
        <w:widowControl w:val="0"/>
      </w:pPr>
    </w:p>
    <w:p w:rsidR="009A1988" w:rsidRDefault="009A1988">
      <w:pPr>
        <w:widowControl w:val="0"/>
      </w:pPr>
    </w:p>
    <w:p w:rsidR="009A1988" w:rsidRDefault="0043184F">
      <w:pPr>
        <w:widowControl w:val="0"/>
        <w:tabs>
          <w:tab w:val="center" w:pos="590"/>
          <w:tab w:val="center" w:pos="1440"/>
          <w:tab w:val="left" w:pos="1872"/>
          <w:tab w:val="left" w:pos="9187"/>
        </w:tabs>
      </w:pPr>
      <w:r>
        <w:rPr>
          <w:b/>
        </w:rPr>
        <w:t>HISTORY OF LEGISLATIVE ACTIONS</w:t>
      </w:r>
    </w:p>
    <w:p w:rsidR="009A1988" w:rsidRDefault="009A1988">
      <w:pPr>
        <w:widowControl w:val="0"/>
        <w:tabs>
          <w:tab w:val="center" w:pos="590"/>
          <w:tab w:val="center" w:pos="1440"/>
          <w:tab w:val="left" w:pos="1872"/>
          <w:tab w:val="left" w:pos="9187"/>
        </w:tabs>
      </w:pPr>
    </w:p>
    <w:p w:rsidR="009A1988" w:rsidRDefault="0043184F">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B25986" w:rsidRDefault="00B25986" w:rsidP="00B25986">
      <w:pPr>
        <w:widowControl w:val="0"/>
        <w:tabs>
          <w:tab w:val="right" w:pos="1008"/>
          <w:tab w:val="left" w:pos="1152"/>
          <w:tab w:val="left" w:pos="1872"/>
          <w:tab w:val="left" w:pos="9187"/>
        </w:tabs>
        <w:ind w:left="2088" w:hanging="2088"/>
      </w:pPr>
      <w:r>
        <w:tab/>
        <w:t>5/6/2009</w:t>
      </w:r>
      <w:r>
        <w:tab/>
        <w:t>Senate</w:t>
      </w:r>
      <w:r>
        <w:tab/>
      </w:r>
      <w:r w:rsidRPr="001919CE">
        <w:t xml:space="preserve">Introduced and read first time </w:t>
      </w:r>
      <w:hyperlink r:id="rId6" w:history="1">
        <w:r w:rsidRPr="00466A23">
          <w:rPr>
            <w:rStyle w:val="Hyperlink"/>
          </w:rPr>
          <w:t>SJ</w:t>
        </w:r>
      </w:hyperlink>
      <w:r>
        <w:noBreakHyphen/>
      </w:r>
      <w:r w:rsidRPr="001919CE">
        <w:t>4</w:t>
      </w:r>
    </w:p>
    <w:p w:rsidR="00B25986" w:rsidRDefault="00B25986" w:rsidP="00B25986">
      <w:pPr>
        <w:widowControl w:val="0"/>
        <w:tabs>
          <w:tab w:val="right" w:pos="1008"/>
          <w:tab w:val="left" w:pos="1152"/>
          <w:tab w:val="left" w:pos="1872"/>
          <w:tab w:val="left" w:pos="9187"/>
        </w:tabs>
        <w:ind w:left="2088" w:hanging="2088"/>
      </w:pPr>
      <w:r>
        <w:tab/>
        <w:t>5/6/2009</w:t>
      </w:r>
      <w:r>
        <w:tab/>
        <w:t>Senate</w:t>
      </w:r>
      <w:r>
        <w:tab/>
      </w:r>
      <w:r w:rsidRPr="001919CE">
        <w:t xml:space="preserve">Referred to Committee on </w:t>
      </w:r>
      <w:r w:rsidRPr="001919CE">
        <w:rPr>
          <w:b/>
        </w:rPr>
        <w:t>Judiciary</w:t>
      </w:r>
      <w:r w:rsidRPr="001919CE">
        <w:t xml:space="preserve"> </w:t>
      </w:r>
      <w:hyperlink r:id="rId7" w:history="1">
        <w:r w:rsidRPr="00466A23">
          <w:rPr>
            <w:rStyle w:val="Hyperlink"/>
          </w:rPr>
          <w:t>SJ</w:t>
        </w:r>
      </w:hyperlink>
      <w:r>
        <w:noBreakHyphen/>
      </w:r>
      <w:r w:rsidRPr="001919CE">
        <w:t>4</w:t>
      </w:r>
    </w:p>
    <w:p w:rsidR="00B25986" w:rsidRDefault="00B25986" w:rsidP="00B25986">
      <w:pPr>
        <w:widowControl w:val="0"/>
        <w:tabs>
          <w:tab w:val="right" w:pos="1008"/>
          <w:tab w:val="left" w:pos="1152"/>
          <w:tab w:val="left" w:pos="1872"/>
          <w:tab w:val="left" w:pos="9187"/>
        </w:tabs>
        <w:ind w:left="2088" w:hanging="2088"/>
      </w:pPr>
      <w:r>
        <w:tab/>
        <w:t>5/13/2009</w:t>
      </w:r>
      <w:r>
        <w:tab/>
        <w:t>Senate</w:t>
      </w:r>
      <w:r>
        <w:tab/>
      </w:r>
      <w:r w:rsidRPr="001919CE">
        <w:t>Referred to Subcommittee: Hutto (ch), Rose, Shoopman</w:t>
      </w:r>
    </w:p>
    <w:p w:rsidR="00B25986" w:rsidRDefault="00B25986" w:rsidP="00B25986">
      <w:pPr>
        <w:widowControl w:val="0"/>
        <w:tabs>
          <w:tab w:val="right" w:pos="1008"/>
          <w:tab w:val="left" w:pos="1152"/>
          <w:tab w:val="left" w:pos="1872"/>
          <w:tab w:val="left" w:pos="9187"/>
        </w:tabs>
        <w:ind w:left="2088" w:hanging="2088"/>
      </w:pPr>
      <w:r>
        <w:tab/>
        <w:t>4/22/2010</w:t>
      </w:r>
      <w:r>
        <w:tab/>
        <w:t>Senate</w:t>
      </w:r>
      <w:r>
        <w:tab/>
      </w:r>
      <w:r w:rsidRPr="001919CE">
        <w:t>Committee r</w:t>
      </w:r>
      <w:r>
        <w:t xml:space="preserve">eport: Favorable with amendment </w:t>
      </w:r>
      <w:r w:rsidRPr="001919CE">
        <w:rPr>
          <w:b/>
        </w:rPr>
        <w:t>Judiciary</w:t>
      </w:r>
      <w:r w:rsidRPr="001919CE">
        <w:t xml:space="preserve"> </w:t>
      </w:r>
      <w:hyperlink r:id="rId8" w:history="1">
        <w:r w:rsidRPr="00466A23">
          <w:rPr>
            <w:rStyle w:val="Hyperlink"/>
          </w:rPr>
          <w:t>SJ</w:t>
        </w:r>
      </w:hyperlink>
      <w:r>
        <w:noBreakHyphen/>
      </w:r>
      <w:r w:rsidRPr="001919CE">
        <w:t>10</w:t>
      </w:r>
    </w:p>
    <w:p w:rsidR="00B25986" w:rsidRDefault="00B25986" w:rsidP="00B25986">
      <w:pPr>
        <w:widowControl w:val="0"/>
        <w:tabs>
          <w:tab w:val="right" w:pos="1008"/>
          <w:tab w:val="left" w:pos="1152"/>
          <w:tab w:val="left" w:pos="1872"/>
          <w:tab w:val="left" w:pos="9187"/>
        </w:tabs>
        <w:ind w:left="2088" w:hanging="2088"/>
      </w:pPr>
      <w:r>
        <w:tab/>
        <w:t>4/23/2010</w:t>
      </w:r>
      <w:r>
        <w:tab/>
      </w:r>
      <w:r>
        <w:tab/>
      </w:r>
      <w:r w:rsidRPr="001919CE">
        <w:t>Scrivener's error corrected</w:t>
      </w:r>
    </w:p>
    <w:p w:rsidR="00B25986" w:rsidRDefault="00B25986" w:rsidP="00B25986">
      <w:pPr>
        <w:widowControl w:val="0"/>
        <w:tabs>
          <w:tab w:val="right" w:pos="1008"/>
          <w:tab w:val="left" w:pos="1152"/>
          <w:tab w:val="left" w:pos="1872"/>
          <w:tab w:val="left" w:pos="9187"/>
        </w:tabs>
        <w:ind w:left="2088" w:hanging="2088"/>
      </w:pPr>
      <w:r>
        <w:tab/>
        <w:t>4/27/2010</w:t>
      </w:r>
      <w:r>
        <w:tab/>
        <w:t>Senate</w:t>
      </w:r>
      <w:r>
        <w:tab/>
      </w:r>
      <w:r w:rsidRPr="001919CE">
        <w:t xml:space="preserve">Committee Amendment Amended and Adopted </w:t>
      </w:r>
      <w:hyperlink r:id="rId9" w:history="1">
        <w:r w:rsidRPr="00466A23">
          <w:rPr>
            <w:rStyle w:val="Hyperlink"/>
          </w:rPr>
          <w:t>SJ</w:t>
        </w:r>
      </w:hyperlink>
      <w:r>
        <w:noBreakHyphen/>
      </w:r>
      <w:r w:rsidRPr="001919CE">
        <w:t>22</w:t>
      </w:r>
    </w:p>
    <w:p w:rsidR="00B25986" w:rsidRDefault="00B25986" w:rsidP="00B25986">
      <w:pPr>
        <w:widowControl w:val="0"/>
        <w:tabs>
          <w:tab w:val="right" w:pos="1008"/>
          <w:tab w:val="left" w:pos="1152"/>
          <w:tab w:val="left" w:pos="1872"/>
          <w:tab w:val="left" w:pos="9187"/>
        </w:tabs>
        <w:ind w:left="2088" w:hanging="2088"/>
      </w:pPr>
      <w:r>
        <w:tab/>
        <w:t>4/27/2010</w:t>
      </w:r>
      <w:r>
        <w:tab/>
        <w:t>Senate</w:t>
      </w:r>
      <w:r>
        <w:tab/>
      </w:r>
      <w:r w:rsidRPr="001919CE">
        <w:t xml:space="preserve">Read second time </w:t>
      </w:r>
      <w:hyperlink r:id="rId10" w:history="1">
        <w:r w:rsidRPr="00466A23">
          <w:rPr>
            <w:rStyle w:val="Hyperlink"/>
          </w:rPr>
          <w:t>SJ</w:t>
        </w:r>
      </w:hyperlink>
      <w:r>
        <w:noBreakHyphen/>
      </w:r>
      <w:r w:rsidRPr="001919CE">
        <w:t>22</w:t>
      </w:r>
    </w:p>
    <w:p w:rsidR="00B25986" w:rsidRDefault="00B25986" w:rsidP="00B25986">
      <w:pPr>
        <w:widowControl w:val="0"/>
        <w:tabs>
          <w:tab w:val="right" w:pos="1008"/>
          <w:tab w:val="left" w:pos="1152"/>
          <w:tab w:val="left" w:pos="1872"/>
          <w:tab w:val="left" w:pos="9187"/>
        </w:tabs>
        <w:ind w:left="2088" w:hanging="2088"/>
      </w:pPr>
      <w:r>
        <w:tab/>
        <w:t>4/28/2010</w:t>
      </w:r>
      <w:r>
        <w:tab/>
      </w:r>
      <w:r>
        <w:tab/>
      </w:r>
      <w:r w:rsidRPr="001919CE">
        <w:t>Scrivener's error corrected</w:t>
      </w:r>
    </w:p>
    <w:p w:rsidR="00B25986" w:rsidRDefault="00B25986" w:rsidP="00B25986">
      <w:pPr>
        <w:widowControl w:val="0"/>
        <w:tabs>
          <w:tab w:val="right" w:pos="1008"/>
          <w:tab w:val="left" w:pos="1152"/>
          <w:tab w:val="left" w:pos="1872"/>
          <w:tab w:val="left" w:pos="9187"/>
        </w:tabs>
        <w:ind w:left="2088" w:hanging="2088"/>
      </w:pPr>
      <w:r>
        <w:tab/>
        <w:t>4/28/2010</w:t>
      </w:r>
      <w:r>
        <w:tab/>
        <w:t>Senate</w:t>
      </w:r>
      <w:r>
        <w:tab/>
      </w:r>
      <w:r w:rsidRPr="001919CE">
        <w:t xml:space="preserve">Read third time and sent to House </w:t>
      </w:r>
      <w:hyperlink r:id="rId11" w:history="1">
        <w:r w:rsidRPr="00466A23">
          <w:rPr>
            <w:rStyle w:val="Hyperlink"/>
          </w:rPr>
          <w:t>SJ</w:t>
        </w:r>
      </w:hyperlink>
      <w:r>
        <w:noBreakHyphen/>
      </w:r>
      <w:r w:rsidRPr="001919CE">
        <w:t>32</w:t>
      </w:r>
    </w:p>
    <w:p w:rsidR="00B25986" w:rsidRDefault="00B25986" w:rsidP="00B25986">
      <w:pPr>
        <w:widowControl w:val="0"/>
        <w:tabs>
          <w:tab w:val="right" w:pos="1008"/>
          <w:tab w:val="left" w:pos="1152"/>
          <w:tab w:val="left" w:pos="1872"/>
          <w:tab w:val="left" w:pos="9187"/>
        </w:tabs>
        <w:ind w:left="2088" w:hanging="2088"/>
      </w:pPr>
      <w:r>
        <w:tab/>
        <w:t>4/29/2010</w:t>
      </w:r>
      <w:r>
        <w:tab/>
        <w:t>House</w:t>
      </w:r>
      <w:r>
        <w:tab/>
      </w:r>
      <w:r w:rsidRPr="001919CE">
        <w:t xml:space="preserve">Introduced and read first time </w:t>
      </w:r>
      <w:hyperlink r:id="rId12" w:history="1">
        <w:r w:rsidRPr="00466A23">
          <w:rPr>
            <w:rStyle w:val="Hyperlink"/>
          </w:rPr>
          <w:t>HJ</w:t>
        </w:r>
      </w:hyperlink>
      <w:r>
        <w:noBreakHyphen/>
      </w:r>
      <w:r w:rsidRPr="001919CE">
        <w:t>15</w:t>
      </w:r>
    </w:p>
    <w:p w:rsidR="00B25986" w:rsidRDefault="00B25986" w:rsidP="00B25986">
      <w:pPr>
        <w:widowControl w:val="0"/>
        <w:tabs>
          <w:tab w:val="right" w:pos="1008"/>
          <w:tab w:val="left" w:pos="1152"/>
          <w:tab w:val="left" w:pos="1872"/>
          <w:tab w:val="left" w:pos="9187"/>
        </w:tabs>
        <w:ind w:left="2088" w:hanging="2088"/>
      </w:pPr>
      <w:r>
        <w:tab/>
        <w:t>4/29/2010</w:t>
      </w:r>
      <w:r>
        <w:tab/>
        <w:t>House</w:t>
      </w:r>
      <w:r>
        <w:tab/>
      </w:r>
      <w:r w:rsidRPr="001919CE">
        <w:t xml:space="preserve">Referred to Committee on </w:t>
      </w:r>
      <w:r w:rsidRPr="001919CE">
        <w:rPr>
          <w:b/>
        </w:rPr>
        <w:t>Judiciary</w:t>
      </w:r>
      <w:r w:rsidRPr="001919CE">
        <w:t xml:space="preserve"> </w:t>
      </w:r>
      <w:hyperlink r:id="rId13" w:history="1">
        <w:r w:rsidRPr="00466A23">
          <w:rPr>
            <w:rStyle w:val="Hyperlink"/>
          </w:rPr>
          <w:t>HJ</w:t>
        </w:r>
      </w:hyperlink>
      <w:r>
        <w:noBreakHyphen/>
      </w:r>
      <w:r w:rsidRPr="001919CE">
        <w:t>15</w:t>
      </w:r>
    </w:p>
    <w:p w:rsidR="00B25986" w:rsidRDefault="00B25986" w:rsidP="00B25986">
      <w:pPr>
        <w:widowControl w:val="0"/>
        <w:tabs>
          <w:tab w:val="right" w:pos="1008"/>
          <w:tab w:val="left" w:pos="1152"/>
          <w:tab w:val="left" w:pos="1872"/>
          <w:tab w:val="left" w:pos="9187"/>
        </w:tabs>
        <w:ind w:left="2088" w:hanging="2088"/>
      </w:pPr>
    </w:p>
    <w:p w:rsidR="009A1988" w:rsidRDefault="009A1988">
      <w:pPr>
        <w:widowControl w:val="0"/>
        <w:tabs>
          <w:tab w:val="right" w:pos="1008"/>
          <w:tab w:val="left" w:pos="1152"/>
          <w:tab w:val="left" w:pos="1872"/>
          <w:tab w:val="left" w:pos="9187"/>
        </w:tabs>
        <w:ind w:left="2088" w:hanging="2088"/>
      </w:pPr>
    </w:p>
    <w:p w:rsidR="009A1988" w:rsidRDefault="0043184F">
      <w:pPr>
        <w:widowControl w:val="0"/>
      </w:pPr>
      <w:r>
        <w:rPr>
          <w:b/>
        </w:rPr>
        <w:t>VERSIONS OF THIS BILL</w:t>
      </w:r>
    </w:p>
    <w:p w:rsidR="009A1988" w:rsidRDefault="009A1988">
      <w:pPr>
        <w:widowControl w:val="0"/>
      </w:pPr>
    </w:p>
    <w:p w:rsidR="009A1988" w:rsidRDefault="00552810">
      <w:pPr>
        <w:widowControl w:val="0"/>
      </w:pPr>
      <w:hyperlink r:id="rId14" w:history="1">
        <w:r w:rsidR="0043184F">
          <w:rPr>
            <w:rStyle w:val="Hyperlink"/>
          </w:rPr>
          <w:t>5/6/2009</w:t>
        </w:r>
      </w:hyperlink>
    </w:p>
    <w:p w:rsidR="00156C10" w:rsidRDefault="00552810">
      <w:hyperlink r:id="rId15" w:history="1">
        <w:r w:rsidR="00156C10" w:rsidRPr="00156C10">
          <w:rPr>
            <w:rStyle w:val="Hyperlink"/>
          </w:rPr>
          <w:t>4/22/2010</w:t>
        </w:r>
      </w:hyperlink>
    </w:p>
    <w:p w:rsidR="000B4AFD" w:rsidRDefault="00552810">
      <w:hyperlink r:id="rId16" w:history="1">
        <w:r w:rsidR="000B4AFD" w:rsidRPr="000B4AFD">
          <w:rPr>
            <w:rStyle w:val="Hyperlink"/>
          </w:rPr>
          <w:t>4/23/2010</w:t>
        </w:r>
      </w:hyperlink>
    </w:p>
    <w:p w:rsidR="00B9524C" w:rsidRDefault="00552810">
      <w:hyperlink r:id="rId17" w:history="1">
        <w:r w:rsidR="00B9524C" w:rsidRPr="00B9524C">
          <w:rPr>
            <w:rStyle w:val="Hyperlink"/>
          </w:rPr>
          <w:t>4/27/2010</w:t>
        </w:r>
      </w:hyperlink>
    </w:p>
    <w:p w:rsidR="00822FCC" w:rsidRDefault="00552810">
      <w:hyperlink r:id="rId18" w:history="1">
        <w:r w:rsidR="00822FCC" w:rsidRPr="00822FCC">
          <w:rPr>
            <w:rStyle w:val="Hyperlink"/>
          </w:rPr>
          <w:t>4/28/2010</w:t>
        </w:r>
      </w:hyperlink>
    </w:p>
    <w:p w:rsidR="009A1988" w:rsidRDefault="009A1988"/>
    <w:p w:rsidR="009A1988" w:rsidRDefault="009A1988">
      <w:pPr>
        <w:sectPr w:rsidR="009A1988">
          <w:pgSz w:w="12240" w:h="15840" w:code="1"/>
          <w:pgMar w:top="1080" w:right="1440" w:bottom="1080" w:left="1440" w:header="720" w:footer="720" w:gutter="0"/>
          <w:cols w:space="720"/>
          <w:noEndnote/>
          <w:docGrid w:linePitch="360"/>
        </w:sect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AMENDED AND ADOPTED</w:t>
      </w: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2010</w:t>
      </w: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Pr="00ED694E" w:rsidRDefault="00822FCC" w:rsidP="00ED694E">
      <w:pPr>
        <w:tabs>
          <w:tab w:val="right" w:pos="5933"/>
        </w:tabs>
        <w:suppressAutoHyphens/>
        <w:jc w:val="both"/>
        <w:rPr>
          <w:rFonts w:eastAsia="Times New Roman"/>
        </w:rPr>
      </w:pPr>
      <w:r>
        <w:rPr>
          <w:rFonts w:eastAsia="Times New Roman"/>
        </w:rPr>
        <w:tab/>
      </w:r>
      <w:r>
        <w:rPr>
          <w:rFonts w:eastAsia="Times New Roman"/>
          <w:b/>
          <w:sz w:val="36"/>
        </w:rPr>
        <w:t>S. 790</w:t>
      </w: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Bryant</w:t>
      </w: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rsidP="00831A78">
      <w:pPr>
        <w:tabs>
          <w:tab w:val="right" w:pos="5933"/>
        </w:tabs>
        <w:suppressAutoHyphens/>
        <w:jc w:val="both"/>
        <w:rPr>
          <w:rFonts w:eastAsia="Times New Roman"/>
        </w:rPr>
      </w:pPr>
      <w:r>
        <w:rPr>
          <w:rFonts w:eastAsia="Times New Roman"/>
        </w:rPr>
        <w:t>S. Printed 4/27/10--S.</w:t>
      </w:r>
      <w:r>
        <w:rPr>
          <w:rFonts w:eastAsia="Times New Roman"/>
        </w:rPr>
        <w:tab/>
        <w:t>[SEC 4/28/10 4:05 PM]</w:t>
      </w: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822FCC"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2FCC" w:rsidSect="00ED694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3, TITLE 16 OF THE 1976 CODE, BY ADDING ARTICLE 19 TO ESTABLISH A PROCEDURE FOR THE ISSUANCE OF TEMPORARY AND PERMANENT 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 TO PROVIDE FOR THE ENFORCEMENT OF FOREIGN PROTECTION ORDERS, AND TO PROVIDE FOR THE REQUIREMENTS FOR VALID FOREIGN PROTECTION ORDERS.</w:t>
      </w: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822FCC" w:rsidRDefault="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075718">
        <w:rPr>
          <w:color w:val="000000" w:themeColor="text1"/>
          <w:u w:color="000000" w:themeColor="text1"/>
        </w:rPr>
        <w:t>SECTION</w:t>
      </w:r>
      <w:r w:rsidRPr="00075718">
        <w:rPr>
          <w:color w:val="000000" w:themeColor="text1"/>
          <w:u w:color="000000" w:themeColor="text1"/>
        </w:rPr>
        <w:tab/>
        <w:t>1.</w:t>
      </w:r>
      <w:r w:rsidRPr="00075718">
        <w:rPr>
          <w:color w:val="000000" w:themeColor="text1"/>
          <w:u w:color="000000" w:themeColor="text1"/>
        </w:rPr>
        <w:tab/>
      </w:r>
      <w:r w:rsidRPr="00075718">
        <w:rPr>
          <w:bCs/>
          <w:color w:val="000000" w:themeColor="text1"/>
          <w:szCs w:val="24"/>
          <w:u w:color="000000" w:themeColor="text1"/>
        </w:rPr>
        <w:t>Chapter 3, Title 16 of the 1976 Code is amended by adding:</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“Article 19</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Civil No</w:t>
      </w:r>
      <w:r w:rsidRPr="00075718">
        <w:rPr>
          <w:bCs/>
          <w:color w:val="000000" w:themeColor="text1"/>
          <w:szCs w:val="24"/>
          <w:u w:color="000000" w:themeColor="text1"/>
        </w:rPr>
        <w:noBreakHyphen/>
        <w:t xml:space="preserve">Contact Orders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075718">
        <w:rPr>
          <w:bCs/>
        </w:rPr>
        <w:tab/>
        <w:t>Section 16</w:t>
      </w:r>
      <w:r w:rsidRPr="00075718">
        <w:rPr>
          <w:bCs/>
        </w:rPr>
        <w:noBreakHyphen/>
        <w:t>3</w:t>
      </w:r>
      <w:r w:rsidRPr="00075718">
        <w:rPr>
          <w:bCs/>
        </w:rPr>
        <w:noBreakHyphen/>
        <w:t>1900.</w:t>
      </w:r>
      <w:r w:rsidRPr="00075718">
        <w:rPr>
          <w:bCs/>
        </w:rPr>
        <w:tab/>
      </w:r>
      <w:r w:rsidRPr="00075718">
        <w:rPr>
          <w:bCs/>
        </w:rPr>
        <w:tab/>
        <w:t>For purposes of this article:</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(1)</w:t>
      </w:r>
      <w:r w:rsidRPr="00075718">
        <w:tab/>
        <w:t xml:space="preserve">‘Complainant’ means a victim of a criminal offense that </w:t>
      </w:r>
      <w:r>
        <w:t>occurred</w:t>
      </w:r>
      <w:r w:rsidRPr="00075718">
        <w:t xml:space="preserve"> in this State, a competent adult who resides in this State on behalf of a minor child who is a victim of a criminal offense that </w:t>
      </w:r>
      <w:r>
        <w:t>occurred</w:t>
      </w:r>
      <w:r w:rsidRPr="00075718">
        <w:t xml:space="preserve"> in this State, or a witness who assisted the prosecuting entity in the prosecution of a criminal offense that </w:t>
      </w:r>
      <w:r>
        <w:t>occurred</w:t>
      </w:r>
      <w:r w:rsidRPr="00075718">
        <w:t xml:space="preserve"> in this State.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(2)</w:t>
      </w:r>
      <w:bookmarkStart w:id="5" w:name="OCC1"/>
      <w:bookmarkEnd w:id="5"/>
      <w:r w:rsidRPr="00075718">
        <w:tab/>
        <w:t>‘</w:t>
      </w:r>
      <w:r w:rsidRPr="00075718">
        <w:rPr>
          <w:bCs/>
        </w:rPr>
        <w:t>Conviction’</w:t>
      </w:r>
      <w:r w:rsidRPr="00075718">
        <w:t xml:space="preserve"> means a conviction, adjudication of delinquency, guilty plea, nolo contendere plea, or forfeiture of bail.</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075718">
        <w:rPr>
          <w:color w:val="000000" w:themeColor="text1"/>
          <w:u w:color="000000" w:themeColor="text1"/>
        </w:rPr>
        <w:tab/>
      </w:r>
      <w:r w:rsidRPr="00075718">
        <w:rPr>
          <w:color w:val="000000" w:themeColor="text1"/>
          <w:u w:color="000000" w:themeColor="text1"/>
        </w:rPr>
        <w:tab/>
        <w:t>(3)</w:t>
      </w:r>
      <w:r w:rsidRPr="00075718">
        <w:rPr>
          <w:color w:val="000000" w:themeColor="text1"/>
          <w:u w:color="000000" w:themeColor="text1"/>
        </w:rPr>
        <w:tab/>
        <w:t>‘Criminal offense’ means an offense against the person of an individual when physical or psychological harm occurs, including both common law and statutory offenses contained in Sections 16</w:t>
      </w:r>
      <w:r w:rsidRPr="00075718">
        <w:rPr>
          <w:color w:val="000000" w:themeColor="text1"/>
          <w:u w:color="000000" w:themeColor="text1"/>
        </w:rPr>
        <w:noBreakHyphen/>
        <w:t>1</w:t>
      </w:r>
      <w:r w:rsidRPr="00075718">
        <w:rPr>
          <w:color w:val="000000" w:themeColor="text1"/>
          <w:u w:color="000000" w:themeColor="text1"/>
        </w:rPr>
        <w:noBreakHyphen/>
        <w:t>60, 16</w:t>
      </w:r>
      <w:r w:rsidRPr="00075718">
        <w:rPr>
          <w:color w:val="000000" w:themeColor="text1"/>
          <w:u w:color="000000" w:themeColor="text1"/>
        </w:rPr>
        <w:noBreakHyphen/>
        <w:t>3</w:t>
      </w:r>
      <w:r w:rsidRPr="00075718">
        <w:rPr>
          <w:color w:val="000000" w:themeColor="text1"/>
          <w:u w:color="000000" w:themeColor="text1"/>
        </w:rPr>
        <w:noBreakHyphen/>
        <w:t>1700,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1710, 16</w:t>
      </w:r>
      <w:r w:rsidRPr="00075718">
        <w:rPr>
          <w:color w:val="000000" w:themeColor="text1"/>
          <w:u w:color="000000" w:themeColor="text1"/>
        </w:rPr>
        <w:noBreakHyphen/>
        <w:t>3</w:t>
      </w:r>
      <w:r w:rsidRPr="00075718">
        <w:rPr>
          <w:color w:val="000000" w:themeColor="text1"/>
          <w:u w:color="000000" w:themeColor="text1"/>
        </w:rPr>
        <w:noBreakHyphen/>
        <w:t>1720,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1730, 16</w:t>
      </w:r>
      <w:r w:rsidRPr="00075718">
        <w:rPr>
          <w:color w:val="000000" w:themeColor="text1"/>
          <w:u w:color="000000" w:themeColor="text1"/>
        </w:rPr>
        <w:noBreakHyphen/>
        <w:t>25</w:t>
      </w:r>
      <w:r w:rsidRPr="00075718">
        <w:rPr>
          <w:color w:val="000000" w:themeColor="text1"/>
          <w:u w:color="000000" w:themeColor="text1"/>
        </w:rPr>
        <w:noBreakHyphen/>
        <w:t>20, 16</w:t>
      </w:r>
      <w:r w:rsidRPr="00075718">
        <w:rPr>
          <w:color w:val="000000" w:themeColor="text1"/>
          <w:u w:color="000000" w:themeColor="text1"/>
        </w:rPr>
        <w:noBreakHyphen/>
        <w:t>25</w:t>
      </w:r>
      <w:r w:rsidRPr="00075718">
        <w:rPr>
          <w:color w:val="000000" w:themeColor="text1"/>
          <w:u w:color="000000" w:themeColor="text1"/>
        </w:rPr>
        <w:noBreakHyphen/>
        <w:t>30, 16</w:t>
      </w:r>
      <w:r w:rsidRPr="00075718">
        <w:rPr>
          <w:color w:val="000000" w:themeColor="text1"/>
          <w:u w:color="000000" w:themeColor="text1"/>
        </w:rPr>
        <w:noBreakHyphen/>
        <w:t>25</w:t>
      </w:r>
      <w:r w:rsidRPr="00075718">
        <w:rPr>
          <w:color w:val="000000" w:themeColor="text1"/>
          <w:u w:color="000000" w:themeColor="text1"/>
        </w:rPr>
        <w:noBreakHyphen/>
        <w:t>50, and 23</w:t>
      </w:r>
      <w:r w:rsidRPr="00075718">
        <w:rPr>
          <w:color w:val="000000" w:themeColor="text1"/>
          <w:u w:color="000000" w:themeColor="text1"/>
        </w:rPr>
        <w:noBreakHyphen/>
        <w:t>3</w:t>
      </w:r>
      <w:r w:rsidRPr="00075718">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75718">
        <w:rPr>
          <w:color w:val="000000" w:themeColor="text1"/>
          <w:u w:color="000000" w:themeColor="text1"/>
        </w:rPr>
        <w:noBreakHyphen/>
        <w:t>1</w:t>
      </w:r>
      <w:r w:rsidRPr="00075718">
        <w:rPr>
          <w:color w:val="000000" w:themeColor="text1"/>
          <w:u w:color="000000" w:themeColor="text1"/>
        </w:rPr>
        <w:noBreakHyphen/>
        <w:t xml:space="preserve">80.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tab/>
        <w:t>(4)</w:t>
      </w:r>
      <w:r w:rsidRPr="00075718">
        <w:tab/>
        <w:t xml:space="preserve">‘Family’ means a spouse, child, parent, sibling, or a person who regularly resides in the same household.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(5)</w:t>
      </w:r>
      <w:r w:rsidRPr="00075718">
        <w:tab/>
        <w:t xml:space="preserve">‘Respondent’ means a person who was convicted of a criminal offense for which the victim was the subject of the crime or the witness assisted the prosecuting entity in prosecuting the criminal offense.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r>
      <w:r w:rsidRPr="00075718">
        <w:tab/>
        <w:t>(6)</w:t>
      </w:r>
      <w:r w:rsidRPr="00075718">
        <w:tab/>
        <w:t>‘Victim’ means:</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(a)</w:t>
      </w:r>
      <w:r w:rsidRPr="00075718">
        <w:tab/>
        <w:t xml:space="preserve">a person who suffers direct or threatened physical, psychological, or financial harm as the result of the commission or attempted commission of a criminal offense; </w:t>
      </w:r>
      <w:r>
        <w:t xml:space="preserve"> </w:t>
      </w:r>
      <w:r w:rsidRPr="00075718">
        <w:t xml:space="preserve">or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 xml:space="preserve">the spouse, parent, child, or lawful representative of a victim who is deceased, a minor, incompetent, or physically or psychologically incapacitated.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(7)</w:t>
      </w:r>
      <w:r w:rsidRPr="00075718">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1910</w:t>
      </w:r>
      <w:r w:rsidRPr="00075718">
        <w:rPr>
          <w:bCs/>
        </w:rPr>
        <w:t>.</w:t>
      </w:r>
      <w:r w:rsidRPr="00075718">
        <w:rPr>
          <w:bCs/>
        </w:rPr>
        <w:tab/>
      </w:r>
      <w:r w:rsidRPr="00075718">
        <w:rPr>
          <w:bCs/>
        </w:rPr>
        <w:tab/>
        <w:t>(A</w:t>
      </w:r>
      <w:r w:rsidRPr="00075718">
        <w:t>)</w:t>
      </w:r>
      <w:r w:rsidRPr="00075718">
        <w:tab/>
        <w:t>The circuit court and family court have jurisdiction over an action seeking a permanent civil no-contact order.</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To seek a permanent civil no-contact order, a person must:</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request the order in general sessions court or family court, as applicable, at the time the respondent is convicted for the criminal offense committed against the complainant; </w:t>
      </w:r>
      <w:r>
        <w:t xml:space="preserve"> </w:t>
      </w:r>
      <w:r w:rsidRPr="00075718">
        <w:t xml:space="preserve">or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file a complaint and motion in common pleas court in the county in which: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 xml:space="preserve">the respondent resides when the action commences;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(b)</w:t>
      </w:r>
      <w:r w:rsidRPr="00075718">
        <w:tab/>
        <w:t xml:space="preserve">the criminal offense occurred; or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(c)</w:t>
      </w:r>
      <w:r w:rsidRPr="00075718">
        <w:tab/>
        <w:t xml:space="preserve">the complainant resides, if the respondent is a nonresident of the State or cannot be found.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The following persons may seek a permanent civil no-contact order:</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w:t>
      </w:r>
      <w:r>
        <w:t xml:space="preserve"> </w:t>
      </w:r>
      <w:r w:rsidRPr="00075718">
        <w:t xml:space="preserve"> or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t>(D)</w:t>
      </w:r>
      <w:r w:rsidRPr="00075718">
        <w:tab/>
        <w:t xml:space="preserve">A complaint must: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a person convicted of a criminal offense for which the victim was the subject of the crime or for which the witness assisted the prosecuting entity;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w:t>
      </w:r>
      <w:r>
        <w:t xml:space="preserve"> </w:t>
      </w:r>
      <w:r w:rsidRPr="00075718">
        <w:t xml:space="preserve"> and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(G)</w:t>
      </w:r>
      <w:r w:rsidRPr="00075718">
        <w:tab/>
        <w:t>An action for a permanent civil no</w:t>
      </w:r>
      <w:r w:rsidRPr="00075718">
        <w:noBreakHyphen/>
        <w:t>contact order requires that a separate summons be issued and served.  The summons must require the respondent to answer within thirty days of the date of service.  The summons must include the complaint for the permanent civil no</w:t>
      </w:r>
      <w:r w:rsidRPr="00075718">
        <w:noBreakHyphen/>
        <w:t xml:space="preserve">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(H)</w:t>
      </w:r>
      <w:r w:rsidRPr="00075718">
        <w:tab/>
        <w:t>The court may enter a permanent civil no</w:t>
      </w:r>
      <w:r w:rsidRPr="00075718">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(I)</w:t>
      </w:r>
      <w:r w:rsidRPr="00075718">
        <w:tab/>
        <w:t>The h</w:t>
      </w:r>
      <w:r w:rsidRPr="00075718">
        <w:rPr>
          <w:bCs/>
        </w:rPr>
        <w:t xml:space="preserve">earing on a permanent civil no-contact order may be done electronically via closed circuit television or through other electronic means when possible.  </w:t>
      </w:r>
      <w:r w:rsidRPr="00075718">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Upon a finding that the respondent wa</w:t>
      </w:r>
      <w:r w:rsidRPr="00075718">
        <w:rPr>
          <w:bCs/>
        </w:rPr>
        <w:t xml:space="preserve">s </w:t>
      </w:r>
      <w:r w:rsidRPr="00075718">
        <w:t>convicted of a criminal offense for which the victim was the subject of the crime or for which the witness assisted the prosecuting entity, as applicable, the court may issue a permanent civil no</w:t>
      </w:r>
      <w:r w:rsidRPr="00075718">
        <w:noBreakHyphen/>
        <w:t>contact order.  In determining whether to issue a permanent civil no</w:t>
      </w:r>
      <w:r w:rsidRPr="00075718">
        <w:noBreakHyphen/>
        <w:t xml:space="preserve">contact order, physical injury to the victim or witness is not required.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(K)</w:t>
      </w:r>
      <w:r w:rsidRPr="00075718">
        <w:tab/>
        <w:t xml:space="preserve">The terms of a permanent civil no-contact order must protect the victim or witness and may include enjoining the respondent from: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 xml:space="preserve">abusing, threatening to abuse, or molesting the victim, witness, or members of the victim or witness’s family;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to enter the victim or witness’s place of residence, employment, education, or other location;  and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w:t>
      </w:r>
      <w:r w:rsidRPr="00075718">
        <w:tab/>
        <w:t>A permanent civil no</w:t>
      </w:r>
      <w:r w:rsidRPr="00075718">
        <w:noBreakHyphen/>
        <w:t>contact order conspicuously must bear the following language:</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punishable by up to five years in prison.’;</w:t>
      </w:r>
      <w:r>
        <w:t xml:space="preserve"> </w:t>
      </w:r>
      <w:r w:rsidRPr="00075718">
        <w:t xml:space="preserve"> and</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(M)(1)</w:t>
      </w:r>
      <w:r w:rsidRPr="00075718">
        <w:tab/>
        <w:t xml:space="preserve">A permanent civil no-contact order remains in effect for the life of the complainant.  </w:t>
      </w:r>
      <w:r w:rsidRPr="00075718">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 permanent civil no-contact order.</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(N)</w:t>
      </w:r>
      <w:r w:rsidRPr="00075718">
        <w:tab/>
        <w:t xml:space="preserve">Notwithstanding another provision of law, a permanent civil no-contact order is enforceable throughout this State.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(O)</w:t>
      </w:r>
      <w:r w:rsidRPr="00075718">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(P)</w:t>
      </w:r>
      <w:r w:rsidRPr="00075718">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822FCC" w:rsidRPr="00075718" w:rsidRDefault="00822FCC"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rFonts w:eastAsia="Times New Roman"/>
          <w:bCs/>
        </w:rPr>
        <w:tab/>
        <w:t>(Q)</w:t>
      </w:r>
      <w:r w:rsidRPr="00075718">
        <w:rPr>
          <w:rFonts w:eastAsia="Times New Roman"/>
          <w:bCs/>
        </w:rPr>
        <w:tab/>
      </w:r>
      <w:r>
        <w:rPr>
          <w:rFonts w:eastAsia="Times New Roman"/>
          <w:bCs/>
        </w:rPr>
        <w:t>P</w:t>
      </w:r>
      <w:r w:rsidRPr="00075718">
        <w:rPr>
          <w:rFonts w:eastAsia="Times New Roman"/>
          <w:bCs/>
        </w:rPr>
        <w:t>ermanent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(R)</w:t>
      </w:r>
      <w:r w:rsidRPr="00075718">
        <w:rPr>
          <w:bCs/>
        </w:rPr>
        <w:tab/>
      </w:r>
      <w:r w:rsidRPr="00075718">
        <w:t>The remedies provided by this section are not exclusive</w:t>
      </w:r>
      <w:r>
        <w:t>,</w:t>
      </w:r>
      <w:r w:rsidRPr="00075718">
        <w:t xml:space="preserve"> but are additional to other remedies provided by law.</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1920</w:t>
      </w:r>
      <w:r w:rsidRPr="00075718">
        <w:rPr>
          <w:bCs/>
        </w:rPr>
        <w:t>.</w:t>
      </w:r>
      <w:r w:rsidRPr="00075718">
        <w:rPr>
          <w:bCs/>
        </w:rPr>
        <w:tab/>
      </w:r>
      <w:r w:rsidRPr="00075718">
        <w:rPr>
          <w:bCs/>
        </w:rPr>
        <w:tab/>
        <w:t>(A</w:t>
      </w:r>
      <w:r w:rsidRPr="00075718">
        <w:t>)</w:t>
      </w:r>
      <w:r w:rsidRPr="00075718">
        <w:tab/>
        <w:t>The magistrates court has jurisdiction over an action seeking an emergency civil no-contact order.</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 xml:space="preserve">An action for an emergency civil no-contact order must be filed in the county in which: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(a)</w:t>
      </w:r>
      <w:r w:rsidRPr="00075718">
        <w:tab/>
        <w:t xml:space="preserve">the respondent resides when the action commences;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(b)</w:t>
      </w:r>
      <w:r w:rsidRPr="00075718">
        <w:tab/>
        <w:t xml:space="preserve">the criminal offense occurred;  or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(c)</w:t>
      </w:r>
      <w:r w:rsidRPr="00075718">
        <w:tab/>
        <w:t xml:space="preserve">the complainant resides, if the respondent is a nonresident of the State or cannot be found.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A complaint and motion for an emergency civil no-contact order may be filed by:</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 </w:t>
      </w:r>
      <w:r>
        <w:t xml:space="preserve"> </w:t>
      </w:r>
      <w:r w:rsidRPr="00075718">
        <w:t xml:space="preserve">or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(D)</w:t>
      </w:r>
      <w:r w:rsidRPr="00075718">
        <w:tab/>
        <w:t xml:space="preserve">The complaint must: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convicted of a criminal offense for which the victim was the subject of the crime or for which the witness assisted the prosecuting entity;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  and</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(G)(1)</w:t>
      </w:r>
      <w:r w:rsidRPr="00075718">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The court shall serve a copy of the complaint and motion upon the respondent at least five days before the hearing in the same manner required for service as provided in the South Carolina Rules of Civil Procedure.  </w:t>
      </w:r>
    </w:p>
    <w:p w:rsidR="00822FCC" w:rsidRPr="00075718" w:rsidRDefault="00822FCC" w:rsidP="001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jc w:val="both"/>
      </w:pPr>
      <w:r w:rsidRPr="00075718">
        <w:tab/>
      </w:r>
      <w:r w:rsidRPr="00075718">
        <w:tab/>
        <w:t>(3)</w:t>
      </w:r>
      <w:r w:rsidRPr="00075718">
        <w:tab/>
        <w:t>The h</w:t>
      </w:r>
      <w:r w:rsidRPr="00075718">
        <w:rPr>
          <w:bCs/>
        </w:rPr>
        <w:t xml:space="preserve">earing may be done electronically via closed circuit television or through other electronic means when possible.  </w:t>
      </w:r>
      <w:r w:rsidRPr="00075718">
        <w:t xml:space="preserve">If the respondent is confined in a Department of Corrections facility, the complainant may come to the Department of Probation, Parole and Pardon Services in Richland County to have the hearing held electronically via closed circuit television or through other electronic means.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The court may issue an emergency civil no-contact order upon a finding that:</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tab/>
      </w:r>
      <w:r>
        <w:tab/>
        <w:t>(1)</w:t>
      </w:r>
      <w:r>
        <w:tab/>
      </w:r>
      <w:r w:rsidRPr="00075718">
        <w:t>the respondent wa</w:t>
      </w:r>
      <w:r w:rsidRPr="00075718">
        <w:rPr>
          <w:bCs/>
        </w:rPr>
        <w:t xml:space="preserve">s </w:t>
      </w:r>
      <w:r w:rsidRPr="00075718">
        <w:t>convicted of a criminal offense for which the victim was the subject of the crime or for which the witness assisted the prosecuting entity, as applicable;</w:t>
      </w:r>
      <w:r>
        <w:t xml:space="preserve"> </w:t>
      </w:r>
      <w:r w:rsidRPr="00075718">
        <w:t xml:space="preserve"> and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(2</w:t>
      </w:r>
      <w:r>
        <w:t>)</w:t>
      </w:r>
      <w:r>
        <w:tab/>
      </w:r>
      <w:r w:rsidRPr="00075718">
        <w:t>a restraining order has expired, is set to expire, or is not available and the common pleas court is not in session for the complainant to obtain a permanent civil no-contact order</w:t>
      </w:r>
      <w:r w:rsidRPr="00075718">
        <w:tab/>
        <w:t>.</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(H)(1)</w:t>
      </w:r>
      <w:r w:rsidRPr="00075718">
        <w:tab/>
        <w:t>Within twenty</w:t>
      </w:r>
      <w:r w:rsidRPr="00075718">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the respondent wa</w:t>
      </w:r>
      <w:r w:rsidRPr="00075718">
        <w:rPr>
          <w:bCs/>
        </w:rPr>
        <w:t xml:space="preserve">s </w:t>
      </w:r>
      <w:r w:rsidRPr="00075718">
        <w:t xml:space="preserve">convicted of a criminal offense for which the victim was the subject of the crime or for which the witness assisted the prosecuting entity, as applicable;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a restraining order has expired, is set to expire, or is not available and the common pleas court is not in session for the complainant to obtain a permanent civil no-contact order</w:t>
      </w:r>
      <w:r w:rsidRPr="00075718">
        <w:tab/>
        <w:t xml:space="preserv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(c)</w:t>
      </w:r>
      <w:r w:rsidRPr="00075718">
        <w:tab/>
        <w:t xml:space="preserve">it clearly appears from specific facts shown by a verified complaint or affidavit that immediate injury, loss, or damage will result to the victim or witness before the respondent can be heard; </w:t>
      </w:r>
      <w:r>
        <w:t xml:space="preserve"> </w:t>
      </w:r>
      <w:r w:rsidRPr="00075718">
        <w:t xml:space="preserve">and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(d)</w:t>
      </w:r>
      <w:r w:rsidRPr="00075718">
        <w:tab/>
        <w:t xml:space="preserve">the complainant certifies to the court that one of the following has occurred: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 efforts have been made to serve the notice;  or</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(ii)</w:t>
      </w:r>
      <w:r w:rsidRPr="00075718">
        <w:tab/>
        <w:t>there is good cause to grant the remedy because the harm that the remedy is intended to prevent would likely occur if the respondent were given prior notice of the complainant’s efforts to obtain judicial relief.</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An emergency civil no-contact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no-contact order.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(I)</w:t>
      </w:r>
      <w:r w:rsidRPr="00075718">
        <w:tab/>
        <w:t xml:space="preserve">The terms of an emergency civil no-contact order must protect the victim or witness and may include temporarily enjoining the respondent from: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 xml:space="preserve">abusing, threatening to abuse, or molesting the victim, witness, or members of the victim or witness’s family;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to enter the victim or witness’s place of residence, employment, education, or other location; </w:t>
      </w:r>
      <w:r>
        <w:t xml:space="preserve"> </w:t>
      </w:r>
      <w:r w:rsidRPr="00075718">
        <w:t xml:space="preserve">and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An emergency civil no</w:t>
      </w:r>
      <w:r w:rsidRPr="00075718">
        <w:noBreakHyphen/>
        <w:t>contact order conspicuously must bear the following language:</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‘Violation of this order is a felony criminal offense punishable by up to five years in prison.’; </w:t>
      </w:r>
      <w:r>
        <w:t xml:space="preserve"> </w:t>
      </w:r>
      <w:r w:rsidRPr="00075718">
        <w:t>and</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(K)</w:t>
      </w:r>
      <w:r w:rsidRPr="00075718">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(L)(1)</w:t>
      </w:r>
      <w:r w:rsidRPr="00075718">
        <w:tab/>
        <w:t>An emergency civil no-contact order remains in effect until a hearing on a permanent civil no-contact order.</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an emergency civil no-contact order.</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w:t>
      </w:r>
      <w:r w:rsidRPr="00075718">
        <w:tab/>
        <w:t xml:space="preserve">Notwithstanding another provision of law, an emergency civil no-contact order is enforceable throughout this State. </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(N)</w:t>
      </w:r>
      <w:r w:rsidRPr="00075718">
        <w:tab/>
        <w:t>Law enforcement officers shall arrest a respondent who is acting in violation of an emergency civil no-contact order after service and notice of the order is provided.  An arrest warrant is not required.  A respondent who is in violation of an emergency civil no-contact order is guilty of a felony and, upon conviction, must be imprisoned up to five years.</w:t>
      </w:r>
    </w:p>
    <w:p w:rsidR="00822FCC" w:rsidRPr="00075718"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(O)</w:t>
      </w:r>
      <w:r w:rsidRPr="00075718">
        <w:tab/>
        <w:t>In proceedings for an emergency civil no-contact order or prosecutions for violation of an emergency civil no-contact order, the prior sexual activity and the reputation of the victim is inadmissible except when it would be admissible in a criminal prosecution as provided by law.</w:t>
      </w:r>
    </w:p>
    <w:p w:rsidR="00822FCC" w:rsidRPr="00075718" w:rsidRDefault="00822FCC"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6" w:name="OCC9"/>
      <w:bookmarkStart w:id="7" w:name="OCC11"/>
      <w:bookmarkStart w:id="8" w:name="1770"/>
      <w:bookmarkEnd w:id="6"/>
      <w:bookmarkEnd w:id="7"/>
      <w:bookmarkEnd w:id="8"/>
      <w:r w:rsidRPr="00075718">
        <w:rPr>
          <w:rFonts w:eastAsia="Times New Roman"/>
          <w:bCs/>
        </w:rPr>
        <w:tab/>
        <w:t>(P)</w:t>
      </w:r>
      <w:r w:rsidRPr="00075718">
        <w:rPr>
          <w:rFonts w:eastAsia="Times New Roman"/>
          <w:bCs/>
        </w:rPr>
        <w:tab/>
        <w:t>Emergency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822FCC" w:rsidRPr="00075718" w:rsidRDefault="00822FCC"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(Q)</w:t>
      </w:r>
      <w:r w:rsidRPr="00075718">
        <w:rPr>
          <w:bCs/>
        </w:rPr>
        <w:tab/>
      </w:r>
      <w:r w:rsidRPr="00075718">
        <w:t>The remedies provided by this section are not exclusive but are additional to other remedies provided by law.”</w:t>
      </w:r>
    </w:p>
    <w:p w:rsidR="00822FCC" w:rsidRPr="00075718" w:rsidRDefault="00822FCC"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822FCC" w:rsidRPr="00075718" w:rsidRDefault="00822FCC"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SECTION</w:t>
      </w:r>
      <w:r w:rsidRPr="00075718">
        <w:tab/>
        <w:t>2.</w:t>
      </w:r>
      <w:r w:rsidRPr="0007571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22FCC" w:rsidRPr="00075718" w:rsidRDefault="00822FCC"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822FCC"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18">
        <w:t>SECTION</w:t>
      </w:r>
      <w:r w:rsidRPr="00075718">
        <w:tab/>
        <w:t>3.</w:t>
      </w:r>
      <w:r w:rsidRPr="00075718">
        <w:tab/>
        <w:t>This act takes effect upon approval by the Governor.</w:t>
      </w:r>
    </w:p>
    <w:p w:rsidR="00822FCC" w:rsidRDefault="00822FCC"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1988" w:rsidRDefault="009A1988" w:rsidP="0082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A1988" w:rsidSect="00ED694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88" w:rsidRDefault="0043184F">
      <w:r>
        <w:separator/>
      </w:r>
    </w:p>
  </w:endnote>
  <w:endnote w:type="continuationSeparator" w:id="0">
    <w:p w:rsidR="009A1988" w:rsidRDefault="00431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F0F48D-5946-4496-A7B8-04FFE52409BD}"/>
    <w:embedBold r:id="rId2" w:fontKey="{E60C29D4-AA1C-41E8-B06B-A6BD17010F2F}"/>
  </w:font>
  <w:font w:name="Calibri">
    <w:panose1 w:val="020F0502020204030204"/>
    <w:charset w:val="00"/>
    <w:family w:val="swiss"/>
    <w:pitch w:val="variable"/>
    <w:sig w:usb0="E10002FF" w:usb1="4000ACFF" w:usb2="00000009" w:usb3="00000000" w:csb0="0000019F" w:csb1="00000000"/>
    <w:embedRegular r:id="rId3" w:fontKey="{F601DB32-5E64-4CF9-A8AF-6D9E2CC887B9}"/>
    <w:embedBold r:id="rId4" w:fontKey="{CA206A3B-4FC0-4350-90F4-E56C8A8067CB}"/>
  </w:font>
  <w:font w:name="Tahoma">
    <w:panose1 w:val="020B0604030504040204"/>
    <w:charset w:val="00"/>
    <w:family w:val="swiss"/>
    <w:pitch w:val="variable"/>
    <w:sig w:usb0="21002A87" w:usb1="80000000" w:usb2="00000008" w:usb3="00000000" w:csb0="000101FF" w:csb1="00000000"/>
    <w:embedRegular r:id="rId5" w:fontKey="{8C8DB616-61FE-4CDD-A284-0A3F7FCE7F99}"/>
  </w:font>
  <w:font w:name="Cambria">
    <w:panose1 w:val="02040503050406030204"/>
    <w:charset w:val="00"/>
    <w:family w:val="roman"/>
    <w:pitch w:val="variable"/>
    <w:sig w:usb0="E00002FF" w:usb1="400004FF" w:usb2="00000000" w:usb3="00000000" w:csb0="0000019F" w:csb1="00000000"/>
    <w:embedRegular r:id="rId6" w:fontKey="{0F385145-0B9D-44FA-9E18-282F3A171D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FCC" w:rsidRDefault="00822FCC">
    <w:pPr>
      <w:pStyle w:val="Footer"/>
      <w:tabs>
        <w:tab w:val="clear" w:pos="4680"/>
        <w:tab w:val="clear" w:pos="9360"/>
        <w:tab w:val="center" w:pos="2995"/>
      </w:tabs>
      <w:spacing w:before="120"/>
    </w:pPr>
    <w:r>
      <w:t>[790-</w:t>
    </w:r>
    <w:r w:rsidR="00552810">
      <w:fldChar w:fldCharType="begin"/>
    </w:r>
    <w:r w:rsidR="00552810">
      <w:instrText xml:space="preserve"> PAGE  \* MERGEFORMAT </w:instrText>
    </w:r>
    <w:r w:rsidR="00552810">
      <w:fldChar w:fldCharType="separate"/>
    </w:r>
    <w:r w:rsidR="00552810">
      <w:rPr>
        <w:noProof/>
      </w:rPr>
      <w:t>1</w:t>
    </w:r>
    <w:r w:rsidR="0055281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94E" w:rsidRDefault="00822FCC">
    <w:pPr>
      <w:pStyle w:val="Footer"/>
      <w:tabs>
        <w:tab w:val="clear" w:pos="4680"/>
        <w:tab w:val="clear" w:pos="9360"/>
        <w:tab w:val="center" w:pos="2995"/>
      </w:tabs>
      <w:spacing w:before="120"/>
    </w:pPr>
    <w:r>
      <w:t>[790]</w:t>
    </w:r>
    <w:r>
      <w:tab/>
    </w:r>
    <w:r w:rsidR="00D963B6">
      <w:fldChar w:fldCharType="begin"/>
    </w:r>
    <w:r>
      <w:instrText xml:space="preserve"> PAGE  \* MERGEFORMAT </w:instrText>
    </w:r>
    <w:r w:rsidR="00D963B6">
      <w:fldChar w:fldCharType="separate"/>
    </w:r>
    <w:r>
      <w:rPr>
        <w:noProof/>
      </w:rPr>
      <w:t>9</w:t>
    </w:r>
    <w:r w:rsidR="00D963B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88" w:rsidRDefault="0043184F">
      <w:r>
        <w:separator/>
      </w:r>
    </w:p>
  </w:footnote>
  <w:footnote w:type="continuationSeparator" w:id="0">
    <w:p w:rsidR="009A1988" w:rsidRDefault="004318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2"/>
  </w:compat>
  <w:docVars>
    <w:docVar w:name="clipname" w:val="008CIVI.EC.LAM"/>
    <w:docVar w:name="CoverAttorneyInitials" w:val="EC"/>
    <w:docVar w:name="CoverAttorneyLastName" w:val="Crawford"/>
    <w:docVar w:name="CoverBillType" w:val="b"/>
    <w:docVar w:name="CoverSenator" w:val="LAM"/>
    <w:docVar w:name="dvBillNumber" w:val="790"/>
    <w:docVar w:name="dvBillNumberPrefix" w:val="S. "/>
    <w:docVar w:name="dvOriginalBody" w:val="Senate"/>
    <w:docVar w:name="fulldraftpath" w:val="L:\S-RULES\DRAFTING\LAM\008CIVI.EC.LAM.DOCX"/>
    <w:docVar w:name="NameofBody" w:val="S"/>
    <w:docVar w:name="vgroup2" w:val="S-RULES"/>
  </w:docVars>
  <w:rsids>
    <w:rsidRoot w:val="009A1988"/>
    <w:rsid w:val="0006600E"/>
    <w:rsid w:val="000B4AFD"/>
    <w:rsid w:val="000E1B12"/>
    <w:rsid w:val="00156C10"/>
    <w:rsid w:val="003043E9"/>
    <w:rsid w:val="0034244A"/>
    <w:rsid w:val="003535C1"/>
    <w:rsid w:val="00380E7B"/>
    <w:rsid w:val="003A4725"/>
    <w:rsid w:val="0043184F"/>
    <w:rsid w:val="004514E8"/>
    <w:rsid w:val="00466A23"/>
    <w:rsid w:val="00552810"/>
    <w:rsid w:val="00557EAB"/>
    <w:rsid w:val="005D1FB5"/>
    <w:rsid w:val="00613628"/>
    <w:rsid w:val="00683D26"/>
    <w:rsid w:val="007518BC"/>
    <w:rsid w:val="007923BC"/>
    <w:rsid w:val="00822FCC"/>
    <w:rsid w:val="0085300B"/>
    <w:rsid w:val="00865008"/>
    <w:rsid w:val="00876746"/>
    <w:rsid w:val="009A1988"/>
    <w:rsid w:val="00A97319"/>
    <w:rsid w:val="00AE3A08"/>
    <w:rsid w:val="00B25986"/>
    <w:rsid w:val="00B9524C"/>
    <w:rsid w:val="00C04A25"/>
    <w:rsid w:val="00C665B7"/>
    <w:rsid w:val="00C90B1E"/>
    <w:rsid w:val="00CA2E59"/>
    <w:rsid w:val="00CC595D"/>
    <w:rsid w:val="00D24A4F"/>
    <w:rsid w:val="00D963B6"/>
    <w:rsid w:val="00DF0E9D"/>
    <w:rsid w:val="00FD5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oNotEmbedSmartTags/>
  <w:decimalSymbol w:val="."/>
  <w:listSeparator w:val=","/>
  <w15:docId w15:val="{25FE7DA7-BB97-4120-85FA-0E42A19A3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9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A1988"/>
    <w:pPr>
      <w:tabs>
        <w:tab w:val="center" w:pos="4680"/>
        <w:tab w:val="right" w:pos="9360"/>
      </w:tabs>
    </w:pPr>
  </w:style>
  <w:style w:type="character" w:customStyle="1" w:styleId="FooterChar">
    <w:name w:val="Footer Char"/>
    <w:basedOn w:val="DefaultParagraphFont"/>
    <w:link w:val="Footer"/>
    <w:uiPriority w:val="99"/>
    <w:semiHidden/>
    <w:rsid w:val="009A1988"/>
  </w:style>
  <w:style w:type="character" w:styleId="PageNumber">
    <w:name w:val="page number"/>
    <w:basedOn w:val="DefaultParagraphFont"/>
    <w:uiPriority w:val="99"/>
    <w:semiHidden/>
    <w:unhideWhenUsed/>
    <w:rsid w:val="009A1988"/>
  </w:style>
  <w:style w:type="character" w:styleId="LineNumber">
    <w:name w:val="line number"/>
    <w:basedOn w:val="DefaultParagraphFont"/>
    <w:uiPriority w:val="99"/>
    <w:semiHidden/>
    <w:unhideWhenUsed/>
    <w:rsid w:val="009A1988"/>
  </w:style>
  <w:style w:type="paragraph" w:styleId="Header">
    <w:name w:val="header"/>
    <w:basedOn w:val="Normal"/>
    <w:link w:val="HeaderChar"/>
    <w:uiPriority w:val="99"/>
    <w:semiHidden/>
    <w:unhideWhenUsed/>
    <w:rsid w:val="009A1988"/>
    <w:pPr>
      <w:tabs>
        <w:tab w:val="center" w:pos="4680"/>
        <w:tab w:val="right" w:pos="9360"/>
      </w:tabs>
    </w:pPr>
  </w:style>
  <w:style w:type="character" w:customStyle="1" w:styleId="HeaderChar">
    <w:name w:val="Header Char"/>
    <w:basedOn w:val="DefaultParagraphFont"/>
    <w:link w:val="Header"/>
    <w:uiPriority w:val="99"/>
    <w:semiHidden/>
    <w:rsid w:val="009A1988"/>
  </w:style>
  <w:style w:type="paragraph" w:customStyle="1" w:styleId="BillDots">
    <w:name w:val="BillDots"/>
    <w:basedOn w:val="Normal"/>
    <w:qFormat/>
    <w:rsid w:val="009A198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A1988"/>
    <w:pPr>
      <w:tabs>
        <w:tab w:val="right" w:pos="5904"/>
      </w:tabs>
    </w:pPr>
  </w:style>
  <w:style w:type="paragraph" w:styleId="BalloonText">
    <w:name w:val="Balloon Text"/>
    <w:basedOn w:val="Normal"/>
    <w:link w:val="BalloonTextChar"/>
    <w:uiPriority w:val="99"/>
    <w:semiHidden/>
    <w:unhideWhenUsed/>
    <w:rsid w:val="009A1988"/>
    <w:rPr>
      <w:rFonts w:ascii="Tahoma" w:hAnsi="Tahoma" w:cs="Tahoma"/>
      <w:sz w:val="16"/>
      <w:szCs w:val="16"/>
    </w:rPr>
  </w:style>
  <w:style w:type="character" w:customStyle="1" w:styleId="BalloonTextChar">
    <w:name w:val="Balloon Text Char"/>
    <w:basedOn w:val="DefaultParagraphFont"/>
    <w:link w:val="BalloonText"/>
    <w:uiPriority w:val="99"/>
    <w:semiHidden/>
    <w:rsid w:val="009A1988"/>
    <w:rPr>
      <w:rFonts w:ascii="Tahoma" w:hAnsi="Tahoma" w:cs="Tahoma"/>
      <w:sz w:val="16"/>
      <w:szCs w:val="16"/>
    </w:rPr>
  </w:style>
  <w:style w:type="character" w:styleId="Hyperlink">
    <w:name w:val="Hyperlink"/>
    <w:basedOn w:val="DefaultParagraphFont"/>
    <w:uiPriority w:val="99"/>
    <w:unhideWhenUsed/>
    <w:rsid w:val="009A19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2-10.docx" TargetMode="External"/><Relationship Id="rId13" Type="http://schemas.openxmlformats.org/officeDocument/2006/relationships/hyperlink" Target="file:///h:\HJ%20Archive\2010\04-29-10.docx" TargetMode="External"/><Relationship Id="rId18" Type="http://schemas.openxmlformats.org/officeDocument/2006/relationships/hyperlink" Target="file:///p:\pprever\2009-10\790_20100428.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09\05-06-09.docx" TargetMode="External"/><Relationship Id="rId12" Type="http://schemas.openxmlformats.org/officeDocument/2006/relationships/hyperlink" Target="file:///h:\HJ%20Archive\2010\04-29-10.docx" TargetMode="External"/><Relationship Id="rId17" Type="http://schemas.openxmlformats.org/officeDocument/2006/relationships/hyperlink" Target="file:///p:\pprever\2009-10\790_20100427.docx" TargetMode="External"/><Relationship Id="rId2" Type="http://schemas.openxmlformats.org/officeDocument/2006/relationships/settings" Target="settings.xml"/><Relationship Id="rId16" Type="http://schemas.openxmlformats.org/officeDocument/2006/relationships/hyperlink" Target="file:///p:\pprever\2009-10\790_20100423.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5-06-09.docx" TargetMode="External"/><Relationship Id="rId11" Type="http://schemas.openxmlformats.org/officeDocument/2006/relationships/hyperlink" Target="file:///h:\SJ%20Archive\2010\04-28-10.docx" TargetMode="External"/><Relationship Id="rId5" Type="http://schemas.openxmlformats.org/officeDocument/2006/relationships/endnotes" Target="endnotes.xml"/><Relationship Id="rId15" Type="http://schemas.openxmlformats.org/officeDocument/2006/relationships/hyperlink" Target="file:///p:\pprever\2009-10\790_20100422.docx" TargetMode="External"/><Relationship Id="rId10" Type="http://schemas.openxmlformats.org/officeDocument/2006/relationships/hyperlink" Target="file:///h:\SJ%20Archive\2010\04-27-10.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0\04-27-10.docx" TargetMode="External"/><Relationship Id="rId14" Type="http://schemas.openxmlformats.org/officeDocument/2006/relationships/hyperlink" Target="file:///p:\pprever\2009-10\790_2009050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3405</Words>
  <Characters>17476</Characters>
  <Application>Microsoft Office Word</Application>
  <DocSecurity>0</DocSecurity>
  <Lines>428</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790: Civil no-contact orders - South Carolina Legislature Online</dc:title>
  <dc:subject/>
  <dc:creator>ERINCRAWFORD</dc:creator>
  <cp:keywords/>
  <dc:description/>
  <cp:lastModifiedBy>N Cumfer</cp:lastModifiedBy>
  <cp:revision>10</cp:revision>
  <cp:lastPrinted>2009-03-04T15:20:00Z</cp:lastPrinted>
  <dcterms:created xsi:type="dcterms:W3CDTF">2010-04-28T20:06:00Z</dcterms:created>
  <dcterms:modified xsi:type="dcterms:W3CDTF">2014-11-24T15:05:00Z</dcterms:modified>
</cp:coreProperties>
</file>