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64D93" w:rsidRP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F64D93" w:rsidRDefault="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15</w:t>
      </w:r>
      <w:r w:rsidR="00F64D93">
        <w:rPr>
          <w:rFonts w:eastAsia="Times New Roman" w:cs="Times New Roman"/>
        </w:rPr>
        <w:t>, 2009</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F64D93" w:rsidRDefault="00F64D93" w:rsidP="00F64D9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196</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8E54A9" w:rsidP="001814DD">
      <w:pPr>
        <w:tabs>
          <w:tab w:val="right" w:pos="5933"/>
        </w:tabs>
        <w:suppressAutoHyphens/>
        <w:rPr>
          <w:rFonts w:eastAsia="Times New Roman" w:cs="Times New Roman"/>
        </w:rPr>
      </w:pPr>
      <w:r>
        <w:rPr>
          <w:rFonts w:eastAsia="Times New Roman" w:cs="Times New Roman"/>
        </w:rPr>
        <w:t>S. Printed 4/15</w:t>
      </w:r>
      <w:r w:rsidR="00F64D93">
        <w:rPr>
          <w:rFonts w:eastAsia="Times New Roman" w:cs="Times New Roman"/>
        </w:rPr>
        <w:t>/09--S.</w:t>
      </w:r>
      <w:r w:rsidR="001814DD">
        <w:rPr>
          <w:rFonts w:eastAsia="Times New Roman" w:cs="Times New Roman"/>
        </w:rPr>
        <w:tab/>
        <w:t>[SEC 4/16/09 2:14 PM]</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64D93" w:rsidRPr="008E54A9" w:rsidRDefault="00F64D93"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64D93" w:rsidSect="00F64D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TO AMEND CHAPTER 3, TITLE 15, CODE OF LAWS OF SOUTH CAROLINA, 1976, RELATING TO CIVIL ACTIONS, SO AS TO LIMIT LIABILITY FOR CERTAIN LIQUEFIED PETROLEUM GAS PROVIDERS FOR INJURIES OR DAMAGES PROXIMATELY CAUSED BY ALTERATIONS, MODIFICATIONS, OR REPAIRS OF LIQUEFIED PETROLEUM GAS EQUIPMENT THE LIQUEFIED PETROLEUM GAS PROVIDER COULD NOT HAVE DISCOVERED, OR WHEN LIQUEFIED PETROLEUM GAS EQUIPMENT IS USED IN A MANNER OR FOR A PURPOSE OTHER THAN THAT WHICH THE EQUIPMENT WAS INTENDED TO BE USED, OR COULD REASONABLY HAVE BEEN FORESEEN TO BE USED FOR, AND TO PROVIDE AN EFFECTIVE DATE.</w:t>
      </w:r>
    </w:p>
    <w:p w:rsidR="008E54A9" w:rsidRDefault="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SECTION</w:t>
      </w:r>
      <w:r w:rsidRPr="00410825">
        <w:rPr>
          <w:rFonts w:eastAsia="Calibri" w:cs="Times New Roman"/>
        </w:rPr>
        <w:tab/>
        <w:t>1.</w:t>
      </w:r>
      <w:r w:rsidRPr="00410825">
        <w:rPr>
          <w:rFonts w:eastAsia="Calibri" w:cs="Times New Roman"/>
        </w:rPr>
        <w:tab/>
        <w:t>Chapter 3 of Title 15 of the 1976 Code is amended by adding:</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410825">
        <w:rPr>
          <w:rFonts w:eastAsia="Calibri" w:cs="Times New Roman"/>
        </w:rPr>
        <w:t>“Section 15</w:t>
      </w:r>
      <w:r w:rsidRPr="00410825">
        <w:rPr>
          <w:rFonts w:eastAsia="Calibri" w:cs="Times New Roman"/>
        </w:rPr>
        <w:noBreakHyphen/>
        <w:t>3</w:t>
      </w:r>
      <w:r w:rsidRPr="00410825">
        <w:rPr>
          <w:rFonts w:eastAsia="Calibri" w:cs="Times New Roman"/>
        </w:rPr>
        <w:noBreakHyphen/>
        <w:t>690.</w:t>
      </w:r>
      <w:r w:rsidRPr="00410825">
        <w:rPr>
          <w:rFonts w:eastAsia="Calibri" w:cs="Times New Roman"/>
        </w:rPr>
        <w:tab/>
      </w:r>
      <w:r>
        <w:rPr>
          <w:rFonts w:eastAsia="Calibri" w:cs="Times New Roman"/>
        </w:rPr>
        <w:tab/>
      </w:r>
      <w:r w:rsidRPr="00410825">
        <w:rPr>
          <w:rFonts w:eastAsia="Calibri" w:cs="Times New Roman"/>
        </w:rPr>
        <w:t>(A)</w:t>
      </w:r>
      <w:r w:rsidRPr="00410825">
        <w:rPr>
          <w:rFonts w:eastAsia="Calibri" w:cs="Times New Roman"/>
        </w:rPr>
        <w:tab/>
        <w:t>As used in this subsection, the following definitions apply:</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(1)</w:t>
      </w:r>
      <w:r w:rsidRPr="00410825">
        <w:rPr>
          <w:rFonts w:eastAsia="Calibri" w:cs="Times New Roman"/>
        </w:rPr>
        <w:tab/>
      </w:r>
      <w:r>
        <w:rPr>
          <w:color w:val="000000"/>
        </w:rPr>
        <w:t>'System</w:t>
      </w:r>
      <w:r w:rsidRPr="00410825">
        <w:rPr>
          <w:color w:val="000000"/>
        </w:rPr>
        <w:t>'</w:t>
      </w:r>
      <w:r>
        <w:rPr>
          <w:color w:val="000000"/>
        </w:rPr>
        <w:t xml:space="preserve"> or ‘</w:t>
      </w:r>
      <w:r w:rsidR="00A57181">
        <w:rPr>
          <w:color w:val="000000"/>
        </w:rPr>
        <w:t>s</w:t>
      </w:r>
      <w:r>
        <w:rPr>
          <w:color w:val="000000"/>
        </w:rPr>
        <w:t>ystems’</w:t>
      </w:r>
      <w:r w:rsidRPr="00410825">
        <w:rPr>
          <w:color w:val="000000"/>
        </w:rPr>
        <w:t xml:space="preserve"> means assembly of equipment consisting of th</w:t>
      </w:r>
      <w:r>
        <w:rPr>
          <w:color w:val="000000"/>
        </w:rPr>
        <w:t>e container and any device that</w:t>
      </w:r>
      <w:r w:rsidRPr="00410825">
        <w:rPr>
          <w:color w:val="000000"/>
        </w:rPr>
        <w:t xml:space="preserve"> is connected to the container for the utilization of liquefied petroleum gas</w:t>
      </w:r>
      <w:r w:rsidRPr="00410825">
        <w:rPr>
          <w:rFonts w:eastAsia="Calibri" w:cs="Times New Roman"/>
        </w:rPr>
        <w:t>.</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825">
        <w:rPr>
          <w:rFonts w:eastAsia="Calibri" w:cs="Times New Roman"/>
        </w:rPr>
        <w:tab/>
      </w:r>
      <w:r w:rsidRPr="00410825">
        <w:rPr>
          <w:rFonts w:eastAsia="Calibri" w:cs="Times New Roman"/>
        </w:rPr>
        <w:tab/>
        <w:t>(2)</w:t>
      </w:r>
      <w:r w:rsidRPr="00410825">
        <w:rPr>
          <w:rFonts w:eastAsia="Calibri" w:cs="Times New Roman"/>
        </w:rPr>
        <w:tab/>
      </w:r>
      <w:r w:rsidRPr="00410825">
        <w:rPr>
          <w:color w:val="000000"/>
        </w:rPr>
        <w:t xml:space="preserve">'Dealer' means a person engaging in the installation of liquefied petroleum gas systems or in the manufacture, distribution, sale, storing, or transporting by tank truck, tank trailer, or container of liquefied petroleum gases or engaging in installing, servicing, repairing, adjusting, disconnecting, or </w:t>
      </w:r>
      <w:r w:rsidRPr="00410825">
        <w:rPr>
          <w:color w:val="000000"/>
        </w:rPr>
        <w:lastRenderedPageBreak/>
        <w:t>connecting appliances to liquefied petroleum gas systems and containers</w:t>
      </w:r>
      <w:r w:rsidRPr="00410825">
        <w:t>.</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tab/>
      </w:r>
      <w:r>
        <w:tab/>
        <w:t>(3)</w:t>
      </w:r>
      <w:r>
        <w:tab/>
      </w:r>
      <w:r w:rsidRPr="00410825">
        <w:rPr>
          <w:color w:val="000000"/>
        </w:rPr>
        <w:t>'Liquefied petroleum gas' means material composed predominately of hydrocarbons or mixtures of hydrocarbons, including propane, propylene, butanes (normal butane or isobutane), and butylenes.</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t>(B)</w:t>
      </w:r>
      <w:r w:rsidRPr="00410825">
        <w:rPr>
          <w:rFonts w:eastAsia="Calibri" w:cs="Times New Roman"/>
        </w:rPr>
        <w:tab/>
        <w:t xml:space="preserve">A liquefied petroleum gas </w:t>
      </w:r>
      <w:r>
        <w:rPr>
          <w:rFonts w:eastAsia="Calibri"/>
        </w:rPr>
        <w:t xml:space="preserve">dealer </w:t>
      </w:r>
      <w:r w:rsidRPr="00410825">
        <w:rPr>
          <w:rFonts w:eastAsia="Calibri" w:cs="Times New Roman"/>
        </w:rPr>
        <w:t>shall be immune from civil liability if the proximate cause of the injury or damages was:</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(1)</w:t>
      </w:r>
      <w:r w:rsidRPr="00410825">
        <w:rPr>
          <w:rFonts w:eastAsia="Calibri" w:cs="Times New Roman"/>
        </w:rPr>
        <w:tab/>
        <w:t xml:space="preserve">an alteration, modification, or repair of </w:t>
      </w:r>
      <w:r>
        <w:rPr>
          <w:rFonts w:eastAsia="Calibri" w:cs="Times New Roman"/>
        </w:rPr>
        <w:t xml:space="preserve">the </w:t>
      </w:r>
      <w:r w:rsidRPr="00410825">
        <w:rPr>
          <w:rFonts w:eastAsia="Calibri" w:cs="Times New Roman"/>
        </w:rPr>
        <w:t xml:space="preserve">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that could not have been discovered by the liquefied petroleum gas </w:t>
      </w:r>
      <w:r>
        <w:rPr>
          <w:rFonts w:eastAsia="Calibri"/>
        </w:rPr>
        <w:t>dealer</w:t>
      </w:r>
      <w:r w:rsidRPr="00410825">
        <w:rPr>
          <w:rFonts w:eastAsia="Calibri" w:cs="Times New Roman"/>
        </w:rPr>
        <w:t xml:space="preserve"> in the exercise of reasonable care; or</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(2)</w:t>
      </w:r>
      <w:r w:rsidRPr="00410825">
        <w:rPr>
          <w:rFonts w:eastAsia="Calibri" w:cs="Times New Roman"/>
        </w:rPr>
        <w:tab/>
        <w:t xml:space="preserve">the use of </w:t>
      </w:r>
      <w:r>
        <w:rPr>
          <w:rFonts w:eastAsia="Calibri" w:cs="Times New Roman"/>
        </w:rPr>
        <w:t xml:space="preserve">the </w:t>
      </w:r>
      <w:r w:rsidRPr="00410825">
        <w:rPr>
          <w:rFonts w:eastAsia="Calibri" w:cs="Times New Roman"/>
        </w:rPr>
        <w:t xml:space="preserve">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in a manner or for a purpose other than that for which the liquid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was intended to be used or for which could reasonably have been foreseen, provided that the liquefied petroleum gas </w:t>
      </w:r>
      <w:r>
        <w:rPr>
          <w:rFonts w:eastAsia="Calibri"/>
        </w:rPr>
        <w:t>dealer</w:t>
      </w:r>
      <w:r w:rsidRPr="00410825">
        <w:rPr>
          <w:rFonts w:eastAsia="Calibri" w:cs="Times New Roman"/>
        </w:rPr>
        <w:t xml:space="preserve"> or the manufacturer of the 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took reasonable steps to warn the ultimate consumer of the hazards associated with foreseeable misuses of the l</w:t>
      </w:r>
      <w:r>
        <w:rPr>
          <w:rFonts w:eastAsia="Calibri"/>
        </w:rPr>
        <w:t>iquefied petroleum gas system or gas burning appliance</w:t>
      </w:r>
      <w:r w:rsidRPr="00410825">
        <w:rPr>
          <w:rFonts w:eastAsia="Calibri" w:cs="Times New Roman"/>
        </w:rPr>
        <w:t>.</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t>(C)</w:t>
      </w:r>
      <w:r w:rsidRPr="00410825">
        <w:rPr>
          <w:rFonts w:eastAsia="Calibri" w:cs="Times New Roman"/>
        </w:rPr>
        <w:tab/>
        <w:t xml:space="preserve">Nothing in this subsection shall be construed as affecting, modifying, or eliminating the liability of a manufacturer of </w:t>
      </w:r>
      <w:r>
        <w:rPr>
          <w:rFonts w:eastAsia="Calibri" w:cs="Times New Roman"/>
        </w:rPr>
        <w:t xml:space="preserve">the </w:t>
      </w:r>
      <w:r w:rsidRPr="00410825">
        <w:rPr>
          <w:rFonts w:eastAsia="Calibri" w:cs="Times New Roman"/>
        </w:rPr>
        <w:t xml:space="preserve">liquefied petroleum gas </w:t>
      </w:r>
      <w:r>
        <w:rPr>
          <w:rFonts w:eastAsia="Calibri"/>
        </w:rPr>
        <w:t>system</w:t>
      </w:r>
      <w:r>
        <w:rPr>
          <w:rFonts w:eastAsia="Calibri" w:cs="Times New Roman"/>
        </w:rPr>
        <w:t xml:space="preserve"> or gas burning appliance, </w:t>
      </w:r>
      <w:r w:rsidRPr="00410825">
        <w:rPr>
          <w:rFonts w:eastAsia="Calibri" w:cs="Times New Roman"/>
        </w:rPr>
        <w:t>or its employees or agents from any other legal claim, including</w:t>
      </w:r>
      <w:r w:rsidR="00A57181">
        <w:rPr>
          <w:rFonts w:eastAsia="Calibri" w:cs="Times New Roman"/>
        </w:rPr>
        <w:t>,</w:t>
      </w:r>
      <w:r w:rsidRPr="00410825">
        <w:rPr>
          <w:rFonts w:eastAsia="Calibri" w:cs="Times New Roman"/>
        </w:rPr>
        <w:t xml:space="preserve"> but not limit</w:t>
      </w:r>
      <w:r w:rsidR="00A57181">
        <w:rPr>
          <w:rFonts w:eastAsia="Calibri" w:cs="Times New Roman"/>
        </w:rPr>
        <w:t>ed to, product liability claims.</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Calibri"/>
        </w:rPr>
        <w:tab/>
        <w:t>(D)</w:t>
      </w:r>
      <w:r>
        <w:rPr>
          <w:rFonts w:eastAsia="Calibri"/>
        </w:rPr>
        <w:tab/>
        <w:t xml:space="preserve">Nothing in this subsection shall apply to </w:t>
      </w:r>
      <w:r>
        <w:rPr>
          <w:rFonts w:eastAsia="Times New Roman" w:cs="Times New Roman"/>
          <w:snapToGrid w:val="0"/>
          <w:szCs w:val="20"/>
        </w:rPr>
        <w:t xml:space="preserve">a </w:t>
      </w:r>
      <w:r>
        <w:rPr>
          <w:rFonts w:eastAsia="Times New Roman"/>
          <w:snapToGrid w:val="0"/>
          <w:szCs w:val="20"/>
        </w:rPr>
        <w:t>c</w:t>
      </w:r>
      <w:r>
        <w:rPr>
          <w:rFonts w:eastAsia="Times New Roman" w:cs="Times New Roman"/>
          <w:snapToGrid w:val="0"/>
          <w:szCs w:val="20"/>
        </w:rPr>
        <w:t>ylinder exchange company as defined pursuant to Section 40-82-20(3) or a reseller as defined pursuant to Section 40-82-20(7)</w:t>
      </w:r>
      <w:r>
        <w:rPr>
          <w:rFonts w:eastAsia="Times New Roman"/>
          <w:snapToGrid w:val="0"/>
          <w:szCs w:val="20"/>
        </w:rPr>
        <w:t>.</w:t>
      </w:r>
      <w:r w:rsidR="00AC2D5E">
        <w:rPr>
          <w:rFonts w:eastAsia="Times New Roman"/>
          <w:snapToGrid w:val="0"/>
          <w:szCs w:val="20"/>
        </w:rPr>
        <w:t>”</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Pr>
          <w:rFonts w:eastAsia="Times New Roman" w:cs="Times New Roman"/>
          <w:snapToGrid w:val="0"/>
          <w:szCs w:val="20"/>
        </w:rPr>
        <w:tab/>
        <w:t>Section 40-82-270 of the 1976 Code is amended to read:</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E54A9" w:rsidRPr="00E818D4" w:rsidRDefault="00AC2D5E" w:rsidP="008E54A9">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u w:val="single"/>
        </w:rPr>
      </w:pPr>
      <w:r>
        <w:rPr>
          <w:rFonts w:eastAsia="Times New Roman" w:cs="Times New Roman"/>
          <w:snapToGrid w:val="0"/>
          <w:szCs w:val="20"/>
        </w:rPr>
        <w:tab/>
        <w:t>“</w:t>
      </w:r>
      <w:r w:rsidR="008E54A9">
        <w:rPr>
          <w:rFonts w:eastAsia="Times New Roman" w:cs="Times New Roman"/>
          <w:snapToGrid w:val="0"/>
          <w:szCs w:val="20"/>
        </w:rPr>
        <w:t>Section 40-82-270.</w:t>
      </w:r>
      <w:r w:rsidR="008E54A9">
        <w:rPr>
          <w:rFonts w:eastAsia="Times New Roman" w:cs="Times New Roman"/>
          <w:snapToGrid w:val="0"/>
          <w:szCs w:val="20"/>
        </w:rPr>
        <w:tab/>
      </w:r>
      <w:r w:rsidR="008E54A9">
        <w:rPr>
          <w:rFonts w:eastAsia="Times New Roman" w:cs="Times New Roman"/>
          <w:snapToGrid w:val="0"/>
          <w:szCs w:val="20"/>
          <w:u w:val="single"/>
        </w:rPr>
        <w:t>(1)</w:t>
      </w:r>
      <w:r w:rsidR="008E54A9" w:rsidRPr="00E818D4">
        <w:rPr>
          <w:rFonts w:eastAsia="Times New Roman" w:cs="Times New Roman"/>
          <w:snapToGrid w:val="0"/>
          <w:szCs w:val="20"/>
        </w:rPr>
        <w:tab/>
      </w:r>
      <w:r w:rsidR="008E54A9" w:rsidRPr="00C57A36">
        <w:t xml:space="preserve">An installer or service worker shall notify the supplier of propane before beginning any work on the system supplied by </w:t>
      </w:r>
      <w:r w:rsidR="008E54A9" w:rsidRPr="00AC5214">
        <w:rPr>
          <w:u w:val="single"/>
        </w:rPr>
        <w:t>a</w:t>
      </w:r>
      <w:r w:rsidR="008E54A9">
        <w:t xml:space="preserve"> </w:t>
      </w:r>
      <w:r w:rsidR="008E54A9" w:rsidRPr="00C57A36">
        <w:t>liquefied petroleum gas supplier.  If more than one liquefied petroleum gas supplier has supplied gas to the container of the system, the last supplier of liquefied petroleum gas must be notified before any work is performed on the system.</w:t>
      </w:r>
    </w:p>
    <w:p w:rsidR="008E54A9" w:rsidRDefault="001814DD"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rPr>
      </w:pPr>
      <w:r>
        <w:rPr>
          <w:rFonts w:eastAsia="Times New Roman" w:cs="Times New Roman"/>
          <w:snapToGrid w:val="0"/>
          <w:szCs w:val="20"/>
        </w:rPr>
        <w:tab/>
      </w:r>
      <w:r w:rsidR="008E54A9" w:rsidRPr="00F00E5F">
        <w:rPr>
          <w:rFonts w:eastAsia="Times New Roman" w:cs="Times New Roman"/>
          <w:snapToGrid w:val="0"/>
          <w:szCs w:val="20"/>
          <w:u w:val="single"/>
        </w:rPr>
        <w:t>(2)</w:t>
      </w:r>
      <w:r w:rsidR="008E54A9">
        <w:rPr>
          <w:rFonts w:eastAsia="Times New Roman" w:cs="Times New Roman"/>
          <w:snapToGrid w:val="0"/>
          <w:szCs w:val="20"/>
        </w:rPr>
        <w:tab/>
      </w:r>
      <w:r w:rsidR="008E54A9" w:rsidRPr="00B930C2">
        <w:rPr>
          <w:rFonts w:eastAsia="Times New Roman" w:cs="Times New Roman"/>
          <w:snapToGrid w:val="0"/>
          <w:szCs w:val="20"/>
          <w:u w:val="single"/>
        </w:rPr>
        <w:t>Any consumer, owner, end user, or person who alters or modifies in any way his</w:t>
      </w:r>
      <w:r w:rsidR="008E54A9" w:rsidRPr="00CE2AC1">
        <w:rPr>
          <w:rFonts w:eastAsia="Times New Roman" w:cs="Times New Roman"/>
          <w:snapToGrid w:val="0"/>
          <w:szCs w:val="20"/>
          <w:u w:val="single"/>
        </w:rPr>
        <w:t xml:space="preserve"> </w:t>
      </w:r>
      <w:r w:rsidR="008E54A9" w:rsidRPr="00CE2AC1">
        <w:rPr>
          <w:color w:val="000000"/>
          <w:u w:val="single"/>
        </w:rPr>
        <w:t>liquefied petroleum</w:t>
      </w:r>
      <w:r w:rsidR="008E54A9" w:rsidRPr="00CE2AC1">
        <w:rPr>
          <w:rFonts w:eastAsia="Times New Roman" w:cs="Times New Roman"/>
          <w:snapToGrid w:val="0"/>
          <w:szCs w:val="20"/>
          <w:u w:val="single"/>
        </w:rPr>
        <w:t xml:space="preserve"> </w:t>
      </w:r>
      <w:r w:rsidR="008E54A9" w:rsidRPr="00B930C2">
        <w:rPr>
          <w:rFonts w:eastAsia="Times New Roman" w:cs="Times New Roman"/>
          <w:snapToGrid w:val="0"/>
          <w:szCs w:val="20"/>
          <w:u w:val="single"/>
        </w:rPr>
        <w:t>gas equipment</w:t>
      </w:r>
      <w:r w:rsidR="008E54A9">
        <w:rPr>
          <w:rFonts w:eastAsia="Times New Roman" w:cs="Times New Roman"/>
          <w:snapToGrid w:val="0"/>
          <w:szCs w:val="20"/>
          <w:u w:val="single"/>
        </w:rPr>
        <w:t>, gas burning appliance,</w:t>
      </w:r>
      <w:r w:rsidR="008E54A9" w:rsidRPr="00B930C2">
        <w:rPr>
          <w:rFonts w:eastAsia="Times New Roman" w:cs="Times New Roman"/>
          <w:snapToGrid w:val="0"/>
          <w:szCs w:val="20"/>
          <w:u w:val="single"/>
        </w:rPr>
        <w:t xml:space="preserve"> or system installed by a licensed dealer</w:t>
      </w:r>
      <w:r w:rsidR="008E54A9">
        <w:rPr>
          <w:rFonts w:eastAsia="Times New Roman" w:cs="Times New Roman"/>
          <w:snapToGrid w:val="0"/>
          <w:szCs w:val="20"/>
          <w:u w:val="single"/>
        </w:rPr>
        <w:t xml:space="preserve"> </w:t>
      </w:r>
      <w:r w:rsidR="008E54A9" w:rsidRPr="00B930C2">
        <w:rPr>
          <w:rFonts w:eastAsia="Times New Roman" w:cs="Times New Roman"/>
          <w:snapToGrid w:val="0"/>
          <w:szCs w:val="20"/>
          <w:u w:val="single"/>
        </w:rPr>
        <w:t xml:space="preserve">shall, for informational purposes, notify the licensed dealer who next </w:t>
      </w:r>
      <w:r w:rsidR="008E54A9" w:rsidRPr="00B930C2">
        <w:rPr>
          <w:rFonts w:eastAsia="Times New Roman" w:cs="Times New Roman"/>
          <w:snapToGrid w:val="0"/>
          <w:szCs w:val="20"/>
          <w:u w:val="single"/>
        </w:rPr>
        <w:lastRenderedPageBreak/>
        <w:t xml:space="preserve">fills or otherwise services his </w:t>
      </w:r>
      <w:r w:rsidR="008E54A9" w:rsidRPr="00CE2AC1">
        <w:rPr>
          <w:color w:val="000000"/>
          <w:u w:val="single"/>
        </w:rPr>
        <w:t>liquefied petroleum</w:t>
      </w:r>
      <w:r w:rsidR="008E54A9" w:rsidRPr="00B930C2">
        <w:rPr>
          <w:rFonts w:eastAsia="Times New Roman" w:cs="Times New Roman"/>
          <w:snapToGrid w:val="0"/>
          <w:szCs w:val="20"/>
          <w:u w:val="single"/>
        </w:rPr>
        <w:t xml:space="preserve"> gas sy</w:t>
      </w:r>
      <w:r w:rsidR="008E54A9">
        <w:rPr>
          <w:rFonts w:eastAsia="Times New Roman" w:cs="Times New Roman"/>
          <w:snapToGrid w:val="0"/>
          <w:szCs w:val="20"/>
          <w:u w:val="single"/>
        </w:rPr>
        <w:t xml:space="preserve">stem that such work has </w:t>
      </w:r>
      <w:r w:rsidR="008E54A9" w:rsidRPr="00B930C2">
        <w:rPr>
          <w:rFonts w:eastAsia="Times New Roman" w:cs="Times New Roman"/>
          <w:snapToGrid w:val="0"/>
          <w:szCs w:val="20"/>
          <w:u w:val="single"/>
        </w:rPr>
        <w:t xml:space="preserve">been performed. </w:t>
      </w:r>
      <w:r w:rsidR="008E54A9" w:rsidRPr="00B930C2">
        <w:rPr>
          <w:rFonts w:cs="Times New Roman"/>
          <w:u w:val="single"/>
        </w:rPr>
        <w:t>T</w:t>
      </w:r>
      <w:r w:rsidR="008E54A9">
        <w:rPr>
          <w:rFonts w:cs="Times New Roman"/>
          <w:u w:val="single"/>
        </w:rPr>
        <w:t>he licensed dealer shall notify their customers in writing at least once per year of the customer’s statutory obligation of notification in regard to modifications to their propane appliances or systems</w:t>
      </w:r>
      <w:r w:rsidR="008E54A9" w:rsidRPr="00F00E5F">
        <w:rPr>
          <w:rFonts w:cs="Times New Roman"/>
          <w:u w:val="single"/>
        </w:rPr>
        <w:t>.</w:t>
      </w:r>
      <w:r w:rsidR="008E54A9">
        <w:rPr>
          <w:rFonts w:cs="Times New Roman"/>
          <w:u w:val="single"/>
        </w:rPr>
        <w:t xml:space="preserve">  This notice should be provided in a separate and distinct disclosure and not a part of other safety literature given to customers.</w:t>
      </w:r>
      <w:r w:rsidR="008E54A9" w:rsidRPr="00F56177">
        <w:rPr>
          <w:rFonts w:cs="Times New Roman"/>
        </w:rPr>
        <w:t>”</w:t>
      </w:r>
      <w:r w:rsidR="008E54A9" w:rsidRPr="00F56177">
        <w:rPr>
          <w:rFonts w:cs="Times New Roman"/>
        </w:rPr>
        <w:tab/>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rPr>
      </w:pP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s="Times New Roman"/>
        </w:rPr>
      </w:pPr>
      <w:r>
        <w:rPr>
          <w:rFonts w:eastAsia="Calibri" w:cs="Times New Roman"/>
        </w:rPr>
        <w:t>SECTION</w:t>
      </w:r>
      <w:r>
        <w:rPr>
          <w:rFonts w:eastAsia="Calibri" w:cs="Times New Roman"/>
        </w:rPr>
        <w:tab/>
        <w:t>3</w:t>
      </w:r>
      <w:r w:rsidRPr="00410825">
        <w:rPr>
          <w:rFonts w:eastAsia="Calibri" w:cs="Times New Roman"/>
        </w:rPr>
        <w:t>.</w:t>
      </w:r>
      <w:r w:rsidRPr="00410825">
        <w:rPr>
          <w:rFonts w:eastAsia="Calibri" w:cs="Times New Roman"/>
        </w:rPr>
        <w:tab/>
        <w:t>This act takes effect on July 1, 200</w:t>
      </w:r>
      <w:r w:rsidRPr="00410825">
        <w:rPr>
          <w:rFonts w:cs="Times New Roman"/>
        </w:rPr>
        <w:t>9</w:t>
      </w:r>
      <w:r w:rsidRPr="00410825">
        <w:rPr>
          <w:rFonts w:eastAsia="Calibri" w:cs="Times New Roman"/>
        </w:rPr>
        <w:t>, or if ratified after that date, upon approval by the Governor, and applies to any cause of action arising on or after the effective date.</w:t>
      </w:r>
      <w:r>
        <w:rPr>
          <w:rFonts w:eastAsia="Calibri" w:cs="Times New Roman"/>
        </w:rPr>
        <w:tab/>
      </w:r>
    </w:p>
    <w:p w:rsidR="00C2590E" w:rsidRDefault="00F64D93" w:rsidP="0026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590E" w:rsidSect="00F64D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90E" w:rsidRDefault="00C2590E" w:rsidP="00C2590E">
      <w:r>
        <w:separator/>
      </w:r>
    </w:p>
  </w:endnote>
  <w:endnote w:type="continuationSeparator" w:id="1">
    <w:p w:rsidR="00C2590E" w:rsidRDefault="00C2590E" w:rsidP="00C25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FAAD5D-3C49-4A35-94AC-587110893149}"/>
    <w:embedBold r:id="rId2" w:fontKey="{089EC009-E078-450F-9A8F-300C3548F4E7}"/>
  </w:font>
  <w:font w:name="Calibri">
    <w:panose1 w:val="020F0502020204030204"/>
    <w:charset w:val="00"/>
    <w:family w:val="swiss"/>
    <w:pitch w:val="variable"/>
    <w:sig w:usb0="A00002EF" w:usb1="4000207B" w:usb2="00000000" w:usb3="00000000" w:csb0="0000009F" w:csb1="00000000"/>
    <w:embedRegular r:id="rId3" w:fontKey="{FA08A6E1-A4EE-4BE2-B9A7-ECF512F369EC}"/>
  </w:font>
  <w:font w:name="Tahoma">
    <w:panose1 w:val="020B0604030504040204"/>
    <w:charset w:val="00"/>
    <w:family w:val="swiss"/>
    <w:pitch w:val="variable"/>
    <w:sig w:usb0="61002A87" w:usb1="80000000" w:usb2="00000008" w:usb3="00000000" w:csb0="000101FF" w:csb1="00000000"/>
    <w:embedRegular r:id="rId4" w:fontKey="{8DD626AD-F75A-4CD1-9379-0B04F6F7944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1C7D02C-A36B-4538-AC60-CA2C970963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0E" w:rsidRDefault="00F64D93">
    <w:pPr>
      <w:pStyle w:val="Footer"/>
      <w:tabs>
        <w:tab w:val="clear" w:pos="4680"/>
        <w:tab w:val="clear" w:pos="9360"/>
        <w:tab w:val="center" w:pos="2995"/>
      </w:tabs>
      <w:spacing w:before="120"/>
    </w:pPr>
    <w:r>
      <w:t>[196-</w:t>
    </w:r>
    <w:fldSimple w:instr=" PAGE  \* MERGEFORMAT ">
      <w:r w:rsidR="002620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93" w:rsidRDefault="00F64D93">
    <w:pPr>
      <w:pStyle w:val="Footer"/>
      <w:tabs>
        <w:tab w:val="clear" w:pos="4680"/>
        <w:tab w:val="clear" w:pos="9360"/>
        <w:tab w:val="center" w:pos="2995"/>
      </w:tabs>
      <w:spacing w:before="120"/>
    </w:pPr>
    <w:r>
      <w:t>[196]</w:t>
    </w:r>
    <w:r>
      <w:tab/>
    </w:r>
    <w:fldSimple w:instr=" PAGE  \* MERGEFORMAT ">
      <w:r w:rsidR="002620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90E" w:rsidRDefault="00C2590E" w:rsidP="00C2590E">
      <w:r>
        <w:separator/>
      </w:r>
    </w:p>
  </w:footnote>
  <w:footnote w:type="continuationSeparator" w:id="1">
    <w:p w:rsidR="00C2590E" w:rsidRDefault="00C2590E" w:rsidP="00C259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2590E"/>
    <w:rsid w:val="001814DD"/>
    <w:rsid w:val="001A7B26"/>
    <w:rsid w:val="0022678C"/>
    <w:rsid w:val="002620C4"/>
    <w:rsid w:val="00534078"/>
    <w:rsid w:val="008E54A9"/>
    <w:rsid w:val="00A51429"/>
    <w:rsid w:val="00A57181"/>
    <w:rsid w:val="00AB558C"/>
    <w:rsid w:val="00AC2D5E"/>
    <w:rsid w:val="00BE3D9D"/>
    <w:rsid w:val="00C2590E"/>
    <w:rsid w:val="00D0657B"/>
    <w:rsid w:val="00DB05A0"/>
    <w:rsid w:val="00F078BA"/>
    <w:rsid w:val="00F26B5A"/>
    <w:rsid w:val="00F64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59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590E"/>
    <w:rPr>
      <w:szCs w:val="21"/>
    </w:rPr>
  </w:style>
  <w:style w:type="character" w:customStyle="1" w:styleId="PlainTextChar">
    <w:name w:val="Plain Text Char"/>
    <w:basedOn w:val="DefaultParagraphFont"/>
    <w:link w:val="PlainText"/>
    <w:uiPriority w:val="99"/>
    <w:rsid w:val="00C2590E"/>
    <w:rPr>
      <w:szCs w:val="21"/>
    </w:rPr>
  </w:style>
  <w:style w:type="paragraph" w:styleId="BodyText">
    <w:name w:val="Body Text"/>
    <w:basedOn w:val="Normal"/>
    <w:link w:val="BodyTextChar"/>
    <w:uiPriority w:val="99"/>
    <w:locked/>
    <w:rsid w:val="00C2590E"/>
  </w:style>
  <w:style w:type="character" w:customStyle="1" w:styleId="BodyTextChar">
    <w:name w:val="Body Text Char"/>
    <w:basedOn w:val="DefaultParagraphFont"/>
    <w:link w:val="BodyText"/>
    <w:uiPriority w:val="99"/>
    <w:rsid w:val="00C2590E"/>
  </w:style>
  <w:style w:type="paragraph" w:styleId="BalloonText">
    <w:name w:val="Balloon Text"/>
    <w:next w:val="Normal"/>
    <w:link w:val="BalloonTextChar"/>
    <w:uiPriority w:val="99"/>
    <w:unhideWhenUsed/>
    <w:rsid w:val="00C2590E"/>
    <w:rPr>
      <w:rFonts w:cs="Tahoma"/>
      <w:szCs w:val="16"/>
    </w:rPr>
  </w:style>
  <w:style w:type="character" w:customStyle="1" w:styleId="BalloonTextChar">
    <w:name w:val="Balloon Text Char"/>
    <w:basedOn w:val="DefaultParagraphFont"/>
    <w:link w:val="BalloonText"/>
    <w:uiPriority w:val="99"/>
    <w:rsid w:val="00C2590E"/>
    <w:rPr>
      <w:rFonts w:cs="Tahoma"/>
      <w:szCs w:val="16"/>
    </w:rPr>
  </w:style>
  <w:style w:type="paragraph" w:styleId="NormalWeb">
    <w:name w:val="Normal (Web)"/>
    <w:basedOn w:val="Normal"/>
    <w:next w:val="Normal"/>
    <w:semiHidden/>
    <w:locked/>
    <w:rsid w:val="00C259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59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590E"/>
    <w:rPr>
      <w:rFonts w:cs="Times New Roman"/>
    </w:rPr>
  </w:style>
  <w:style w:type="character" w:styleId="LineNumber">
    <w:name w:val="line number"/>
    <w:basedOn w:val="DefaultParagraphFont"/>
    <w:uiPriority w:val="99"/>
    <w:semiHidden/>
    <w:unhideWhenUsed/>
    <w:locked/>
    <w:rsid w:val="00F64D93"/>
  </w:style>
  <w:style w:type="paragraph" w:styleId="Header">
    <w:name w:val="header"/>
    <w:basedOn w:val="Normal"/>
    <w:link w:val="HeaderChar"/>
    <w:uiPriority w:val="99"/>
    <w:semiHidden/>
    <w:unhideWhenUsed/>
    <w:locked/>
    <w:rsid w:val="00F64D93"/>
    <w:pPr>
      <w:tabs>
        <w:tab w:val="center" w:pos="4680"/>
        <w:tab w:val="right" w:pos="9360"/>
      </w:tabs>
    </w:pPr>
  </w:style>
  <w:style w:type="character" w:customStyle="1" w:styleId="HeaderChar">
    <w:name w:val="Header Char"/>
    <w:basedOn w:val="DefaultParagraphFont"/>
    <w:link w:val="Header"/>
    <w:uiPriority w:val="99"/>
    <w:semiHidden/>
    <w:rsid w:val="00F64D93"/>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683</Words>
  <Characters>3898</Characters>
  <Application>Microsoft Office Word</Application>
  <DocSecurity>0</DocSecurity>
  <Lines>32</Lines>
  <Paragraphs>9</Paragraphs>
  <ScaleCrop>false</ScaleCrop>
  <Company>Project Management</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2009-04-15T19:46:00Z</cp:lastPrinted>
  <dcterms:created xsi:type="dcterms:W3CDTF">2009-04-16T18:14:00Z</dcterms:created>
  <dcterms:modified xsi:type="dcterms:W3CDTF">2009-04-16T18:14:00Z</dcterms:modified>
</cp:coreProperties>
</file>