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49-1-85 SO AS TO PROVIDE FOR AFFLUENT DISCHARGE REQUIREMENTS FOR LAKE JOCASSEE LOCATED IN OCONEE AND PICKENS COUNTIES INCLUDING DISCHARGES FROM WATERCRAFT.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49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49-1-85.</w:t>
      </w:r>
      <w:r>
        <w:tab/>
        <w:t>The same affluent discharge requirements provided by law or regulation applicable to Lake Keowee located in Oconee and Pickens Counties, including discharges from watercraft, also apply to Lake Jocassee located in Oconee and Pickens Counties, including discharges from watercraft.”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5B8CCA-93C1-46A3-AB86-BA9A47839DCC}"/>
    <w:embedBold r:id="rId2" w:fontKey="{BDBB7E2F-D441-4FB4-96E0-6744684182CC}"/>
  </w:font>
  <w:font w:name="Calibri">
    <w:panose1 w:val="020F0502020204030204"/>
    <w:charset w:val="00"/>
    <w:family w:val="swiss"/>
    <w:pitch w:val="variable"/>
    <w:sig w:usb0="A00002EF" w:usb1="4000207B" w:usb2="00000000" w:usb3="00000000" w:csb0="0000009F" w:csb1="00000000"/>
    <w:embedRegular r:id="rId3" w:fontKey="{07099B5A-93C0-4AE1-AAF5-554264E37C4A}"/>
  </w:font>
  <w:font w:name="Cambria">
    <w:panose1 w:val="02040503050406030204"/>
    <w:charset w:val="00"/>
    <w:family w:val="roman"/>
    <w:pitch w:val="variable"/>
    <w:sig w:usb0="A00002EF" w:usb1="4000004B" w:usb2="00000000" w:usb3="00000000" w:csb0="0000009F" w:csb1="00000000"/>
    <w:embedRegular r:id="rId4" w:fontKey="{AA02C23B-2A41-443B-9664-A9DE49C27D9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77SD09"/>
    <w:docVar w:name="CoverBillType" w:val="b"/>
    <w:docVar w:name="docpath" w:val="L:\Council\bills\GJK\20077SD09.DOCX"/>
    <w:docVar w:name="dvBillNumber" w:val="3392"/>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113</Words>
  <Characters>649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dcterms:created xsi:type="dcterms:W3CDTF">2009-01-29T15:46:00Z</dcterms:created>
  <dcterms:modified xsi:type="dcterms:W3CDTF">2009-01-29T15:46:00Z</dcterms:modified>
</cp:coreProperties>
</file>