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22</w:t>
      </w:r>
      <w:r>
        <w:noBreakHyphen/>
        <w:t>3</w:t>
      </w:r>
      <w:r>
        <w:noBreakHyphen/>
        <w:t>1000, CODE OF LAWS OF SOUTH CAROLINA, 1976, RELATING TO THE TIME FOR A MOTION FOR NEW TRIAL AND APPEAL IN MAGISTRATES COURT, SO AS TO INCREASE THE TIME PERIOD IN WHICH A MOTION FOR A NEW TRIAL MAY BE MADE FROM FIVE TO TEN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22</w:t>
      </w:r>
      <w:r>
        <w:noBreakHyphen/>
        <w:t>3</w:t>
      </w:r>
      <w:r>
        <w:noBreakHyphen/>
        <w:t>1000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3</w:t>
      </w:r>
      <w:r>
        <w:noBreakHyphen/>
        <w:t>1000.</w:t>
      </w:r>
      <w:r>
        <w:tab/>
      </w:r>
      <w:r>
        <w:rPr>
          <w:strike/>
        </w:rPr>
        <w:t>No</w:t>
      </w:r>
      <w:r>
        <w:rPr>
          <w:u w:val="single"/>
        </w:rPr>
        <w:t>A</w:t>
      </w:r>
      <w:r>
        <w:t xml:space="preserve"> motion for a new trial may </w:t>
      </w:r>
      <w:r>
        <w:rPr>
          <w:u w:val="single"/>
        </w:rPr>
        <w:t>not</w:t>
      </w:r>
      <w:r>
        <w:t xml:space="preserve"> be heard unless made within </w:t>
      </w:r>
      <w:r>
        <w:rPr>
          <w:strike/>
        </w:rPr>
        <w:t>five</w:t>
      </w:r>
      <w:r>
        <w:rPr>
          <w:u w:val="single"/>
        </w:rPr>
        <w:t>ten</w:t>
      </w:r>
      <w:r>
        <w:t xml:space="preserve"> days from the rendering of the judgment.  The right of appeal from the judgment exists for thirty days after the rendering of the judgment.  A magistrate’s order of restitution may be appealed within thirty days.  The order of restitution may be appealed separately from an appeal</w:t>
      </w:r>
      <w:r>
        <w:rPr>
          <w:strike/>
        </w:rPr>
        <w:t>, if any,</w:t>
      </w:r>
      <w:r>
        <w:t xml:space="preserve"> relating to the conviction.”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255AE6-4DA9-4200-934F-78DA7D5F5146}"/>
    <w:embedBold r:id="rId2" w:fontKey="{42DDD2EE-B4A5-4E04-9ED2-DB86FDABFC78}"/>
  </w:font>
  <w:font w:name="Calibri">
    <w:panose1 w:val="020F0502020204030204"/>
    <w:charset w:val="00"/>
    <w:family w:val="swiss"/>
    <w:pitch w:val="variable"/>
    <w:sig w:usb0="A00002EF" w:usb1="4000207B" w:usb2="00000000" w:usb3="00000000" w:csb0="0000009F" w:csb1="00000000"/>
    <w:embedRegular r:id="rId3" w:fontKey="{FD4151B8-BF52-4550-8D34-D931295F04C0}"/>
  </w:font>
  <w:font w:name="Tahoma">
    <w:panose1 w:val="020B0604030504040204"/>
    <w:charset w:val="00"/>
    <w:family w:val="swiss"/>
    <w:pitch w:val="variable"/>
    <w:sig w:usb0="61002A87" w:usb1="80000000" w:usb2="00000008" w:usb3="00000000" w:csb0="000101FF" w:csb1="00000000"/>
    <w:embedRegular r:id="rId4" w:fontKey="{D5D895FA-4ACF-457E-8605-7A73DD2BDA01}"/>
  </w:font>
  <w:font w:name="Cambria">
    <w:panose1 w:val="02040503050406030204"/>
    <w:charset w:val="00"/>
    <w:family w:val="roman"/>
    <w:pitch w:val="variable"/>
    <w:sig w:usb0="A00002EF" w:usb1="4000004B" w:usb2="00000000" w:usb3="00000000" w:csb0="0000009F" w:csb1="00000000"/>
    <w:embedRegular r:id="rId5" w:fontKey="{2744BDAA-AC1E-42FE-93C5-6BE987BEB7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93AHB09"/>
    <w:docVar w:name="CoverBillType" w:val="b"/>
    <w:docVar w:name="docpath" w:val="L:\Council\bills\MS\7293AHB09.DOCX"/>
    <w:docVar w:name="dvBillNumber" w:val="3845"/>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1472</Characters>
  <Application>Microsoft Office Word</Application>
  <DocSecurity>0</DocSecurity>
  <Lines>12</Lines>
  <Paragraphs>3</Paragraphs>
  <ScaleCrop>false</ScaleCrop>
  <Company> </Company>
  <LinksUpToDate>false</LinksUpToDate>
  <CharactersWithSpaces>1727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2009-03-24T14:42:00Z</cp:lastPrinted>
  <dcterms:created xsi:type="dcterms:W3CDTF">2009-04-01T14:45:00Z</dcterms:created>
  <dcterms:modified xsi:type="dcterms:W3CDTF">2009-04-01T14:45:00Z</dcterms:modified>
</cp:coreProperties>
</file>