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E53AEF">
      <w:pPr>
        <w:pStyle w:val="BillDots"/>
      </w:pPr>
      <w:r>
        <w:t>February 16</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3D2604" w:rsidP="003F0F92">
      <w:pPr>
        <w:pStyle w:val="BillDots"/>
        <w:tabs>
          <w:tab w:val="clear" w:pos="216"/>
          <w:tab w:val="clear" w:pos="432"/>
          <w:tab w:val="clear" w:pos="648"/>
          <w:tab w:val="clear" w:pos="864"/>
          <w:tab w:val="clear" w:pos="1080"/>
          <w:tab w:val="clear" w:pos="1296"/>
          <w:tab w:val="clear" w:pos="5904"/>
          <w:tab w:val="right" w:pos="5933"/>
        </w:tabs>
      </w:pPr>
      <w:r>
        <w:t>S. Printed 2/1</w:t>
      </w:r>
      <w:r w:rsidR="00E53AEF">
        <w:t>6</w:t>
      </w:r>
      <w:r>
        <w:t>/10</w:t>
      </w:r>
      <w:r w:rsidR="009F716E">
        <w:t>--S.</w:t>
      </w:r>
      <w:r w:rsidR="003F0F92">
        <w:tab/>
        <w:t>[SEC 2/17/10 4:46 PM]</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80FBD"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A80FBD">
        <w:rPr>
          <w:color w:val="000000" w:themeColor="text1"/>
          <w:sz w:val="22"/>
          <w:szCs w:val="22"/>
          <w:u w:color="000000" w:themeColor="text1"/>
        </w:rPr>
        <w:t xml:space="preserve">the General Assembly or a member of his immediate family be </w:t>
      </w:r>
      <w:r w:rsidR="00713592" w:rsidRPr="00A80FBD">
        <w:rPr>
          <w:snapToGrid w:val="0"/>
          <w:color w:val="000000" w:themeColor="text1"/>
          <w:sz w:val="22"/>
          <w:szCs w:val="22"/>
        </w:rPr>
        <w:t xml:space="preserve">elected or appointed to be a commissioner for a period of two </w:t>
      </w:r>
      <w:r w:rsidRPr="00A80FBD">
        <w:rPr>
          <w:color w:val="000000" w:themeColor="text1"/>
          <w:sz w:val="22"/>
          <w:szCs w:val="22"/>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80FBD">
        <w:rPr>
          <w:color w:val="000000" w:themeColor="text1"/>
          <w:sz w:val="22"/>
          <w:szCs w:val="22"/>
          <w:u w:color="000000" w:themeColor="text1"/>
        </w:rPr>
        <w:tab/>
      </w:r>
      <w:r w:rsidRPr="00A80FBD">
        <w:rPr>
          <w:color w:val="000000" w:themeColor="text1"/>
          <w:sz w:val="22"/>
          <w:szCs w:val="22"/>
          <w:u w:color="000000" w:themeColor="text1"/>
        </w:rPr>
        <w:tab/>
      </w:r>
      <w:r w:rsidRPr="00A80FBD">
        <w:rPr>
          <w:color w:val="000000" w:themeColor="text1"/>
          <w:sz w:val="22"/>
          <w:szCs w:val="22"/>
          <w:u w:color="000000" w:themeColor="text1"/>
        </w:rPr>
        <w:tab/>
        <w:t>(a)</w:t>
      </w:r>
      <w:r w:rsidRPr="00A80FBD">
        <w:rPr>
          <w:color w:val="000000" w:themeColor="text1"/>
          <w:sz w:val="22"/>
          <w:szCs w:val="22"/>
          <w:u w:color="000000" w:themeColor="text1"/>
        </w:rPr>
        <w:tab/>
        <w:t xml:space="preserve">ceases to be a member of the </w:t>
      </w:r>
      <w:r w:rsidRPr="00AF51C2">
        <w:rPr>
          <w:color w:val="000000" w:themeColor="text1"/>
          <w:sz w:val="22"/>
          <w:szCs w:val="18"/>
          <w:u w:color="000000" w:themeColor="text1"/>
        </w:rPr>
        <w:t xml:space="preserve">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lastRenderedPageBreak/>
        <w:tab/>
      </w:r>
      <w:r w:rsidRPr="00AF51C2">
        <w:rPr>
          <w:color w:val="000000" w:themeColor="text1"/>
          <w:sz w:val="22"/>
          <w:szCs w:val="18"/>
          <w:u w:color="000000" w:themeColor="text1"/>
        </w:rPr>
        <w:tab/>
        <w:t>(3)</w:t>
      </w:r>
      <w:r w:rsidRPr="00AF51C2">
        <w:rPr>
          <w:color w:val="000000" w:themeColor="text1"/>
          <w:sz w:val="22"/>
          <w:szCs w:val="18"/>
          <w:u w:color="000000" w:themeColor="text1"/>
        </w:rPr>
        <w:tab/>
        <w:t>The initial members of the panel do not have to meet the qualifications for election contained in this subsection  during their continued tenure as a commissioner.  Nothing in this section prohibits an initial commissioner from seeking reelection.</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10563"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003D2604" w:rsidRPr="00AF51C2">
        <w:rPr>
          <w:color w:val="000000" w:themeColor="text1"/>
        </w:rPr>
        <w:t>“Section 41-27-650.</w:t>
      </w:r>
      <w:r w:rsidR="003D2604" w:rsidRPr="00AF51C2">
        <w:rPr>
          <w:color w:val="000000" w:themeColor="text1"/>
        </w:rPr>
        <w:tab/>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r w:rsidR="003D2604" w:rsidRPr="00AF51C2">
        <w:rPr>
          <w:color w:val="000000" w:themeColor="text1"/>
        </w:rPr>
        <w:tab/>
      </w:r>
      <w:r w:rsidR="003D2604" w:rsidRPr="00AF51C2">
        <w:rPr>
          <w:color w:val="000000" w:themeColor="text1"/>
        </w:rPr>
        <w:tab/>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 xml:space="preserve">General </w:t>
      </w:r>
      <w:r w:rsidRPr="00AF51C2">
        <w:rPr>
          <w:color w:val="000000" w:themeColor="text1"/>
          <w:u w:val="single"/>
        </w:rPr>
        <w:lastRenderedPageBreak/>
        <w:t>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 xml:space="preserve">coverage requirements </w:t>
      </w:r>
      <w:r w:rsidRPr="00AF51C2">
        <w:rPr>
          <w:color w:val="000000" w:themeColor="text1"/>
          <w:u w:val="single"/>
        </w:rPr>
        <w:lastRenderedPageBreak/>
        <w:t>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in accordance 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w:t>
      </w:r>
      <w:r w:rsidRPr="00AF51C2">
        <w:rPr>
          <w:color w:val="000000" w:themeColor="text1"/>
        </w:rPr>
        <w:lastRenderedPageBreak/>
        <w:t xml:space="preserve">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lastRenderedPageBreak/>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w:t>
      </w:r>
      <w:r w:rsidRPr="00AF51C2">
        <w:rPr>
          <w:color w:val="000000" w:themeColor="text1"/>
          <w:szCs w:val="24"/>
        </w:rPr>
        <w:lastRenderedPageBreak/>
        <w:t>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w:t>
      </w:r>
      <w:r w:rsidRPr="00AF51C2">
        <w:rPr>
          <w:color w:val="000000" w:themeColor="text1"/>
          <w:szCs w:val="24"/>
        </w:rPr>
        <w:lastRenderedPageBreak/>
        <w:t xml:space="preserve">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w:t>
      </w:r>
      <w:r w:rsidRPr="00AF51C2">
        <w:rPr>
          <w:color w:val="000000" w:themeColor="text1"/>
          <w:szCs w:val="24"/>
        </w:rPr>
        <w:lastRenderedPageBreak/>
        <w:t>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w:t>
      </w:r>
      <w:r w:rsidRPr="00AF51C2">
        <w:rPr>
          <w:color w:val="000000" w:themeColor="text1"/>
          <w:szCs w:val="24"/>
        </w:rPr>
        <w:lastRenderedPageBreak/>
        <w:t>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w:t>
      </w:r>
      <w:r w:rsidRPr="00AF51C2">
        <w:rPr>
          <w:color w:val="000000" w:themeColor="text1"/>
          <w:szCs w:val="24"/>
        </w:rPr>
        <w:lastRenderedPageBreak/>
        <w:t xml:space="preserve">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w:t>
      </w:r>
      <w:r w:rsidRPr="00AF51C2">
        <w:rPr>
          <w:color w:val="000000" w:themeColor="text1"/>
        </w:rPr>
        <w:lastRenderedPageBreak/>
        <w:t xml:space="preserve">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w:t>
      </w:r>
      <w:r w:rsidRPr="00AF51C2">
        <w:rPr>
          <w:color w:val="000000" w:themeColor="text1"/>
          <w:szCs w:val="24"/>
        </w:rPr>
        <w:lastRenderedPageBreak/>
        <w:t xml:space="preserve">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 xml:space="preserve">has the </w:t>
      </w:r>
      <w:r w:rsidRPr="00AF51C2">
        <w:rPr>
          <w:color w:val="000000" w:themeColor="text1"/>
          <w:szCs w:val="24"/>
          <w:u w:val="single"/>
        </w:rPr>
        <w:lastRenderedPageBreak/>
        <w:t>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w:t>
      </w:r>
      <w:r w:rsidRPr="00AF51C2">
        <w:rPr>
          <w:color w:val="000000" w:themeColor="text1"/>
          <w:szCs w:val="24"/>
        </w:rPr>
        <w:lastRenderedPageBreak/>
        <w:t xml:space="preserve">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w:t>
      </w:r>
      <w:r w:rsidRPr="00AF51C2">
        <w:rPr>
          <w:color w:val="000000" w:themeColor="text1"/>
          <w:szCs w:val="24"/>
        </w:rPr>
        <w:lastRenderedPageBreak/>
        <w:t xml:space="preserve">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w:t>
      </w:r>
      <w:r w:rsidRPr="00AF51C2">
        <w:rPr>
          <w:color w:val="000000" w:themeColor="text1"/>
          <w:szCs w:val="24"/>
        </w:rPr>
        <w:lastRenderedPageBreak/>
        <w:t>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F51C2">
        <w:rPr>
          <w:color w:val="000000" w:themeColor="text1"/>
          <w:szCs w:val="24"/>
        </w:rPr>
        <w:tab/>
      </w:r>
      <w:r w:rsidR="00E53AEF" w:rsidRPr="00ED20F3">
        <w:rPr>
          <w:szCs w:val="24"/>
        </w:rPr>
        <w:t>(C)</w:t>
      </w:r>
      <w:r w:rsidR="00E53AEF" w:rsidRPr="00ED20F3">
        <w:rPr>
          <w:szCs w:val="24"/>
        </w:rPr>
        <w:tab/>
        <w:t xml:space="preserve">As used in this section, ‘employing unit’ means </w:t>
      </w:r>
      <w:r w:rsidR="00E53AEF" w:rsidRPr="00ED20F3">
        <w:rPr>
          <w:strike/>
          <w:szCs w:val="24"/>
        </w:rPr>
        <w:t>those entities</w:t>
      </w:r>
      <w:r w:rsidR="00E53AEF" w:rsidRPr="00ED20F3">
        <w:rPr>
          <w:szCs w:val="24"/>
        </w:rPr>
        <w:t xml:space="preserve"> </w:t>
      </w:r>
      <w:r w:rsidR="00E53AEF" w:rsidRPr="00ED20F3">
        <w:rPr>
          <w:szCs w:val="24"/>
          <w:u w:val="single"/>
        </w:rPr>
        <w:t>an entity</w:t>
      </w:r>
      <w:r w:rsidR="00E53AEF" w:rsidRPr="00ED20F3">
        <w:rPr>
          <w:szCs w:val="24"/>
        </w:rPr>
        <w:t xml:space="preserve"> employing more than twenty individuals.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20F3">
        <w:rPr>
          <w:szCs w:val="24"/>
        </w:rPr>
        <w:tab/>
      </w:r>
      <w:r w:rsidRPr="00ED20F3">
        <w:rPr>
          <w:szCs w:val="24"/>
          <w:u w:val="single"/>
        </w:rPr>
        <w:t>(D)</w:t>
      </w:r>
      <w:r w:rsidRPr="00ED20F3">
        <w:rPr>
          <w:szCs w:val="24"/>
        </w:rPr>
        <w:tab/>
      </w:r>
      <w:r w:rsidRPr="00ED20F3">
        <w:rPr>
          <w:u w:val="single"/>
        </w:rPr>
        <w:t>The department must institute the following measures to the fullest extent possible under state and federal law:</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(1)</w:t>
      </w:r>
      <w:r w:rsidRPr="00ED20F3">
        <w:tab/>
      </w:r>
      <w:r w:rsidRPr="00ED20F3">
        <w:rPr>
          <w:u w:val="single"/>
        </w:rPr>
        <w:t>increase eligibility reviews and investigations as to violations of Sections 41</w:t>
      </w:r>
      <w:r w:rsidRPr="00ED20F3">
        <w:rPr>
          <w:u w:val="single"/>
        </w:rPr>
        <w:noBreakHyphen/>
        <w:t>35</w:t>
      </w:r>
      <w:r w:rsidRPr="00ED20F3">
        <w:rPr>
          <w:u w:val="single"/>
        </w:rPr>
        <w:noBreakHyphen/>
        <w:t>110 and 41</w:t>
      </w:r>
      <w:r w:rsidRPr="00ED20F3">
        <w:rPr>
          <w:u w:val="single"/>
        </w:rPr>
        <w:noBreakHyphen/>
        <w:t>35</w:t>
      </w:r>
      <w:r w:rsidRPr="00ED20F3">
        <w:rPr>
          <w:u w:val="single"/>
        </w:rPr>
        <w:noBreakHyphen/>
        <w:t>120 and enforce appropriate disqualifications and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(2)</w:t>
      </w:r>
      <w:r w:rsidRPr="00ED20F3">
        <w:tab/>
      </w:r>
      <w:r w:rsidRPr="00ED20F3">
        <w:rPr>
          <w:u w:val="single"/>
        </w:rPr>
        <w:t xml:space="preserve">increase investigations of violations of Chapter 41, Title 41 and enforce appropriate penalties; </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(3)</w:t>
      </w:r>
      <w:r w:rsidRPr="00ED20F3">
        <w:tab/>
      </w:r>
      <w:r w:rsidRPr="00ED20F3">
        <w:rPr>
          <w:u w:val="single"/>
        </w:rPr>
        <w:t>increase investigations of violations of Article 3, Chapter 31, Title 41 and enforce appropriate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(4)</w:t>
      </w:r>
      <w:r w:rsidRPr="00ED20F3">
        <w:tab/>
      </w:r>
      <w:r w:rsidRPr="00ED20F3">
        <w:rPr>
          <w:u w:val="single"/>
        </w:rPr>
        <w:t>keep detailed voting and attendance records at all commission hearings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(5)</w:t>
      </w:r>
      <w:r w:rsidRPr="00ED20F3">
        <w:tab/>
      </w:r>
      <w:r w:rsidRPr="00ED20F3">
        <w:rPr>
          <w:u w:val="single"/>
        </w:rPr>
        <w:t>keep detailed travel and expense records for commissioners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(6)</w:t>
      </w:r>
      <w:r w:rsidRPr="00ED20F3">
        <w:tab/>
      </w:r>
      <w:r w:rsidRPr="00ED20F3">
        <w:rPr>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(7)</w:t>
      </w:r>
      <w:r w:rsidRPr="00ED20F3">
        <w:tab/>
      </w:r>
      <w:r w:rsidRPr="00ED20F3">
        <w:rPr>
          <w:u w:val="single"/>
        </w:rPr>
        <w:t xml:space="preserve">report to the Chairman of the House Ways and Means Committee and the Chairman of the Senate Labor, Commerce and Industry Committee within five days of the effective date of this </w:t>
      </w:r>
      <w:r w:rsidR="00ED20F3">
        <w:rPr>
          <w:u w:val="single"/>
        </w:rPr>
        <w:t>act</w:t>
      </w:r>
      <w:r w:rsidRPr="00ED20F3">
        <w:rPr>
          <w:u w:val="single"/>
        </w:rPr>
        <w:t xml:space="preserve"> as to the degree the commission can accomplish or cannot accomplish each subitem in Sections 1 and 2 of this </w:t>
      </w:r>
      <w:r w:rsidR="00ED20F3">
        <w:rPr>
          <w:u w:val="single"/>
        </w:rPr>
        <w:t>act</w:t>
      </w:r>
      <w:r w:rsidRPr="00ED20F3">
        <w:rPr>
          <w:u w:val="single"/>
        </w:rPr>
        <w:t>, and provide reasons why a subitem cannot be accomplished if the commission cannot do so;</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(8)</w:t>
      </w:r>
      <w:r w:rsidRPr="00ED20F3">
        <w:tab/>
      </w:r>
      <w:r w:rsidRPr="00ED20F3">
        <w:rPr>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AF51C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D20F3">
        <w:lastRenderedPageBreak/>
        <w:tab/>
      </w:r>
      <w:r w:rsidRPr="00ED20F3">
        <w:tab/>
      </w:r>
      <w:r w:rsidRPr="00ED20F3">
        <w:rPr>
          <w:u w:val="single"/>
        </w:rPr>
        <w:t>(9)</w:t>
      </w:r>
      <w:r w:rsidRPr="00ED20F3">
        <w:tab/>
      </w:r>
      <w:r w:rsidRPr="00ED20F3">
        <w:rPr>
          <w:u w:val="single"/>
        </w:rPr>
        <w:t>take all other actions necessary and prudent to effectively and efficiently manage the state’s unemployment benefits program.</w:t>
      </w:r>
      <w:r w:rsidRPr="00ED20F3">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lastRenderedPageBreak/>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w:t>
      </w:r>
      <w:r w:rsidRPr="00AF51C2">
        <w:rPr>
          <w:color w:val="000000" w:themeColor="text1"/>
        </w:rPr>
        <w:lastRenderedPageBreak/>
        <w:t>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w:t>
      </w:r>
      <w:r w:rsidRPr="00AF51C2">
        <w:rPr>
          <w:color w:val="000000" w:themeColor="text1"/>
          <w:szCs w:val="24"/>
        </w:rPr>
        <w:lastRenderedPageBreak/>
        <w:t xml:space="preserve">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In the administration of the provisions in Chapter 35, Article 3 of this Title, which are enacted to conform with the </w:t>
      </w:r>
      <w:r w:rsidRPr="00AF51C2">
        <w:rPr>
          <w:color w:val="000000" w:themeColor="text1"/>
          <w:szCs w:val="24"/>
        </w:rPr>
        <w:lastRenderedPageBreak/>
        <w:t>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F92">
        <w:rPr>
          <w:u w:color="000000" w:themeColor="text1"/>
        </w:rPr>
        <w:t>SECTION</w:t>
      </w:r>
      <w:r w:rsidRPr="003F0F92">
        <w:rPr>
          <w:u w:color="000000" w:themeColor="text1"/>
        </w:rPr>
        <w:tab/>
        <w:t>62.</w:t>
      </w:r>
      <w:r w:rsidRPr="003F0F92">
        <w:rPr>
          <w:u w:color="000000" w:themeColor="text1"/>
        </w:rPr>
        <w:tab/>
        <w:t>Section 41</w:t>
      </w:r>
      <w:r w:rsidRPr="003F0F92">
        <w:rPr>
          <w:u w:color="000000" w:themeColor="text1"/>
        </w:rPr>
        <w:noBreakHyphen/>
        <w:t>33</w:t>
      </w:r>
      <w:r w:rsidRPr="003F0F92">
        <w:rPr>
          <w:u w:color="000000" w:themeColor="text1"/>
        </w:rPr>
        <w:noBreakHyphen/>
        <w:t>45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u w:color="000000" w:themeColor="text1"/>
        </w:rPr>
        <w:tab/>
        <w:t>“Section 41</w:t>
      </w:r>
      <w:r w:rsidRPr="003F0F92">
        <w:rPr>
          <w:u w:color="000000" w:themeColor="text1"/>
        </w:rPr>
        <w:noBreakHyphen/>
        <w:t>33</w:t>
      </w:r>
      <w:r w:rsidRPr="003F0F92">
        <w:rPr>
          <w:u w:color="000000" w:themeColor="text1"/>
        </w:rPr>
        <w:noBreakHyphen/>
        <w:t>45.</w:t>
      </w:r>
      <w:r w:rsidRPr="003F0F92">
        <w:rPr>
          <w:u w:color="000000" w:themeColor="text1"/>
        </w:rPr>
        <w:tab/>
      </w:r>
      <w:r w:rsidRPr="003F0F92">
        <w:rPr>
          <w:snapToGrid w:val="0"/>
          <w:u w:val="single"/>
        </w:rPr>
        <w:t>(A)</w:t>
      </w:r>
      <w:r w:rsidRPr="003F0F92">
        <w:rPr>
          <w:snapToGrid w:val="0"/>
        </w:rPr>
        <w:tab/>
        <w:t xml:space="preserve">The commission shall report, by October first of each year, to the </w:t>
      </w:r>
      <w:r w:rsidRPr="003F0F92">
        <w:rPr>
          <w:strike/>
          <w:snapToGrid w:val="0"/>
        </w:rPr>
        <w:t>Senate Finance Committee</w:t>
      </w:r>
      <w:r w:rsidRPr="003F0F92">
        <w:rPr>
          <w:snapToGrid w:val="0"/>
        </w:rPr>
        <w:t xml:space="preserve"> </w:t>
      </w:r>
      <w:r w:rsidRPr="003F0F92">
        <w:rPr>
          <w:snapToGrid w:val="0"/>
          <w:u w:val="single"/>
        </w:rPr>
        <w:t>General Assembly</w:t>
      </w:r>
      <w:r w:rsidRPr="003F0F92">
        <w:rPr>
          <w:snapToGrid w:val="0"/>
        </w:rPr>
        <w:t xml:space="preserve"> and to the </w:t>
      </w:r>
      <w:r w:rsidRPr="003F0F92">
        <w:rPr>
          <w:strike/>
          <w:snapToGrid w:val="0"/>
        </w:rPr>
        <w:t>House Ways and Means Committee</w:t>
      </w:r>
      <w:r w:rsidRPr="003F0F92">
        <w:rPr>
          <w:snapToGrid w:val="0"/>
        </w:rPr>
        <w:t xml:space="preserve"> </w:t>
      </w:r>
      <w:r w:rsidRPr="003F0F92">
        <w:rPr>
          <w:snapToGrid w:val="0"/>
          <w:u w:val="single"/>
        </w:rPr>
        <w:t>Governor</w:t>
      </w:r>
      <w:r w:rsidRPr="003F0F92">
        <w:rPr>
          <w:snapToGrid w:val="0"/>
        </w:rPr>
        <w:t xml:space="preserve"> the amount in the unemployment trust fund and make an assessment of its funding level.</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F0F92">
        <w:rPr>
          <w:snapToGrid w:val="0"/>
        </w:rPr>
        <w:tab/>
      </w:r>
      <w:r w:rsidRPr="003F0F92">
        <w:rPr>
          <w:snapToGrid w:val="0"/>
          <w:u w:val="single"/>
        </w:rPr>
        <w:t>(B)(1)</w:t>
      </w:r>
      <w:r w:rsidRPr="003F0F92">
        <w:rPr>
          <w:snapToGrid w:val="0"/>
        </w:rPr>
        <w:tab/>
      </w:r>
      <w:r w:rsidRPr="003F0F92">
        <w:rPr>
          <w:snapToGrid w:val="0"/>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3F0F92">
        <w:rPr>
          <w:snapToGrid w:val="0"/>
        </w:rPr>
        <w:tab/>
      </w:r>
      <w:r w:rsidRPr="003F0F92">
        <w:rPr>
          <w:snapToGrid w:val="0"/>
        </w:rPr>
        <w:tab/>
      </w:r>
      <w:r w:rsidRPr="003F0F92">
        <w:rPr>
          <w:snapToGrid w:val="0"/>
          <w:u w:val="single"/>
        </w:rPr>
        <w:t>(2)</w:t>
      </w:r>
      <w:r w:rsidRPr="003F0F92">
        <w:rPr>
          <w:snapToGrid w:val="0"/>
        </w:rPr>
        <w:tab/>
      </w:r>
      <w:r w:rsidRPr="003F0F92">
        <w:rPr>
          <w:snapToGrid w:val="0"/>
          <w:u w:val="single"/>
        </w:rPr>
        <w:t>The annual assessment report must also contain an analysis of  the cost paid to beneficiaries and cost-shifting, if any, 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3F0F92">
        <w:rPr>
          <w:snapToGrid w:val="0"/>
        </w:rPr>
        <w:t>”</w:t>
      </w:r>
      <w:r w:rsidRPr="003F0F92">
        <w:rPr>
          <w:snapToGrid w:val="0"/>
        </w:rPr>
        <w:tab/>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w:t>
      </w:r>
      <w:r w:rsidRPr="00AF51C2">
        <w:rPr>
          <w:rFonts w:eastAsiaTheme="minorHAnsi"/>
          <w:color w:val="000000" w:themeColor="text1"/>
          <w:szCs w:val="22"/>
          <w:u w:color="000000" w:themeColor="text1"/>
        </w:rPr>
        <w:lastRenderedPageBreak/>
        <w:t>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w:t>
      </w:r>
      <w:r w:rsidRPr="00AF51C2">
        <w:rPr>
          <w:rFonts w:eastAsiaTheme="minorHAnsi"/>
          <w:color w:val="000000" w:themeColor="text1"/>
          <w:szCs w:val="22"/>
          <w:u w:color="000000" w:themeColor="text1"/>
        </w:rPr>
        <w:lastRenderedPageBreak/>
        <w:t xml:space="preserve">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lastRenderedPageBreak/>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  All 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w:t>
      </w:r>
      <w:r w:rsidRPr="00AF51C2">
        <w:rPr>
          <w:rFonts w:eastAsiaTheme="minorHAnsi"/>
          <w:color w:val="000000" w:themeColor="text1"/>
          <w:szCs w:val="22"/>
          <w:u w:color="000000" w:themeColor="text1"/>
        </w:rPr>
        <w:lastRenderedPageBreak/>
        <w:t xml:space="preserve">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w:t>
      </w:r>
      <w:r w:rsidRPr="00AF51C2">
        <w:rPr>
          <w:color w:val="000000" w:themeColor="text1"/>
        </w:rPr>
        <w:lastRenderedPageBreak/>
        <w:t xml:space="preserve">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w:t>
      </w:r>
      <w:r w:rsidR="00E53AEF" w:rsidRPr="00ED20F3">
        <w:rPr>
          <w:snapToGrid w:val="0"/>
        </w:rPr>
        <w:t>time</w:t>
      </w:r>
      <w:r w:rsidR="00E53AEF" w:rsidRPr="00ED20F3">
        <w:rPr>
          <w:snapToGrid w:val="0"/>
          <w:u w:val="single"/>
        </w:rPr>
        <w:t>;</w:t>
      </w:r>
    </w:p>
    <w:p w:rsidR="009B5E2F" w:rsidRPr="00ED20F3" w:rsidRDefault="00ED20F3"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D20F3">
        <w:rPr>
          <w:snapToGrid w:val="0"/>
        </w:rPr>
        <w:tab/>
      </w:r>
      <w:r w:rsidR="00E53AEF" w:rsidRPr="00ED20F3">
        <w:rPr>
          <w:snapToGrid w:val="0"/>
        </w:rPr>
        <w:tab/>
      </w:r>
      <w:r w:rsidR="00E53AEF" w:rsidRPr="00ED20F3">
        <w:rPr>
          <w:snapToGrid w:val="0"/>
        </w:rPr>
        <w:tab/>
      </w:r>
      <w:r w:rsidR="00E53AEF" w:rsidRPr="00ED20F3">
        <w:rPr>
          <w:u w:val="single" w:color="000000" w:themeColor="text1"/>
        </w:rPr>
        <w:t>(c)</w:t>
      </w:r>
      <w:r w:rsidR="00E53AEF" w:rsidRPr="00ED20F3">
        <w:rPr>
          <w:u w:color="000000" w:themeColor="text1"/>
        </w:rPr>
        <w:tab/>
      </w:r>
      <w:r w:rsidR="00E53AEF" w:rsidRPr="00ED20F3">
        <w:rPr>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00E53AEF" w:rsidRPr="00ED20F3">
        <w:rPr>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lastRenderedPageBreak/>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120 of the 1976 Code, as last amended by Act 50 of 2005,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AnyA</w:t>
      </w:r>
      <w:r w:rsidRPr="00AF51C2">
        <w:rPr>
          <w:rFonts w:eastAsiaTheme="minorHAnsi"/>
          <w:color w:val="000000" w:themeColor="text1"/>
          <w:szCs w:val="22"/>
          <w:u w:val="single" w:color="000000" w:themeColor="text1"/>
        </w:rPr>
        <w:t>n</w:t>
      </w:r>
      <w:r w:rsidRPr="00AF51C2">
        <w:rPr>
          <w:rFonts w:eastAsiaTheme="minorHAnsi"/>
          <w:color w:val="000000" w:themeColor="text1"/>
          <w:szCs w:val="22"/>
          <w:u w:color="000000" w:themeColor="text1"/>
        </w:rPr>
        <w:t xml:space="preserve"> insured worker is ineligible for benefits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leaving work voluntarily.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w:t>
      </w:r>
      <w:r w:rsidRPr="00AF51C2">
        <w:rPr>
          <w:rFonts w:eastAsiaTheme="minorHAnsi"/>
          <w:strike/>
          <w:color w:val="000000" w:themeColor="text1"/>
          <w:szCs w:val="22"/>
          <w:u w:color="000000" w:themeColor="text1"/>
        </w:rPr>
        <w:t>has</w:t>
      </w:r>
      <w:r w:rsidRPr="00AF51C2">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by Chapters 27 through 41 of this title and earned wages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 equal to at least eight times the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Discharge</w:t>
      </w:r>
      <w:r w:rsidRPr="00AF51C2">
        <w:rPr>
          <w:rFonts w:eastAsiaTheme="minorHAnsi"/>
          <w:color w:val="000000" w:themeColor="text1"/>
          <w:szCs w:val="22"/>
          <w:u w:val="single" w:color="000000" w:themeColor="text1"/>
        </w:rPr>
        <w:t>being discharged</w:t>
      </w:r>
      <w:r w:rsidRPr="00AF51C2">
        <w:rPr>
          <w:rFonts w:eastAsiaTheme="minorHAnsi"/>
          <w:color w:val="000000" w:themeColor="text1"/>
          <w:szCs w:val="22"/>
          <w:u w:color="000000" w:themeColor="text1"/>
        </w:rPr>
        <w:t xml:space="preserve"> for cause connected with the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was</w:t>
      </w:r>
      <w:r w:rsidRPr="00AF51C2">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w:t>
      </w:r>
      <w:r w:rsidRPr="00AF51C2">
        <w:rPr>
          <w:rFonts w:eastAsiaTheme="minorHAnsi"/>
          <w:color w:val="000000" w:themeColor="text1"/>
          <w:szCs w:val="22"/>
          <w:u w:color="000000" w:themeColor="text1"/>
        </w:rPr>
        <w:lastRenderedPageBreak/>
        <w:t>year, with ineligibility beginning with the effective date of the request, and continuing not less than five nor more than the next twenty</w:t>
      </w:r>
      <w:r w:rsidRPr="00AF51C2">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(iii)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more accurate scientifically accepted </w:t>
      </w:r>
      <w:r w:rsidRPr="00AF51C2">
        <w:rPr>
          <w:rFonts w:eastAsiaTheme="minorHAnsi"/>
          <w:strike/>
          <w:color w:val="000000" w:themeColor="text1"/>
          <w:szCs w:val="22"/>
          <w:u w:color="000000" w:themeColor="text1"/>
        </w:rPr>
        <w:t>methods</w:t>
      </w:r>
      <w:r w:rsidRPr="00AF51C2">
        <w:rPr>
          <w:rFonts w:eastAsiaTheme="minorHAnsi"/>
          <w:color w:val="000000" w:themeColor="text1"/>
          <w:szCs w:val="22"/>
          <w:u w:val="single" w:color="000000" w:themeColor="text1"/>
        </w:rPr>
        <w:t>method</w:t>
      </w:r>
      <w:r w:rsidRPr="00AF51C2">
        <w:rPr>
          <w:rFonts w:eastAsiaTheme="minorHAnsi"/>
          <w:color w:val="000000" w:themeColor="text1"/>
          <w:szCs w:val="22"/>
          <w:u w:color="000000" w:themeColor="text1"/>
        </w:rPr>
        <w:t xml:space="preserve"> approved by the National Institute on Drug Abuse.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for purposes of this item, ‘unlawfully’ means without a prescription.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If an insured worker makes an admission pursuant to the employer’s policy, which provides that voluntary admissions </w:t>
      </w:r>
      <w:r w:rsidRPr="00AF51C2">
        <w:rPr>
          <w:rFonts w:eastAsiaTheme="minorHAnsi"/>
          <w:color w:val="000000" w:themeColor="text1"/>
          <w:szCs w:val="22"/>
          <w:u w:color="000000" w:themeColor="text1"/>
        </w:rPr>
        <w:lastRenderedPageBreak/>
        <w:t xml:space="preserve">made before the employer’s request to the employee to submit to testing may protect an employee from immediate termination, then the admission is inadmissible for purposes of this section as long as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(i)</w:t>
      </w:r>
      <w:r w:rsidRPr="00AF51C2">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(ii)</w:t>
      </w:r>
      <w:r w:rsidRPr="00AF51C2">
        <w:rPr>
          <w:rFonts w:eastAsiaTheme="minorHAnsi"/>
          <w:color w:val="000000" w:themeColor="text1"/>
          <w:szCs w:val="22"/>
          <w:u w:color="000000" w:themeColor="text1"/>
        </w:rPr>
        <w:tab/>
        <w:t xml:space="preserve">employee makes the admission specifically pursuant to the employer’s policy.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Information, interviews, reports, and drug</w:t>
      </w:r>
      <w:r w:rsidRPr="00AF51C2">
        <w:rPr>
          <w:rFonts w:eastAsiaTheme="minorHAnsi"/>
          <w:color w:val="000000" w:themeColor="text1"/>
          <w:szCs w:val="22"/>
          <w:u w:color="000000" w:themeColor="text1"/>
        </w:rPr>
        <w:noBreakHyphen/>
        <w:t>test results, written or otherwise, received by an employer through a drug</w:t>
      </w:r>
      <w:r w:rsidRPr="00AF51C2">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administrative or judicial appeal.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failure to accept work.</w:t>
      </w:r>
      <w:r w:rsidRPr="00AF51C2">
        <w:rPr>
          <w:rFonts w:eastAsiaTheme="minorHAnsi"/>
          <w:strike/>
          <w:color w:val="000000" w:themeColor="text1"/>
          <w:szCs w:val="22"/>
          <w:u w:color="000000" w:themeColor="text1"/>
        </w:rPr>
        <w:noBreakHyphen/>
      </w:r>
      <w:r w:rsidRPr="00AF51C2">
        <w:rPr>
          <w:rFonts w:eastAsiaTheme="minorHAnsi"/>
          <w:strike/>
          <w:color w:val="000000" w:themeColor="text1"/>
          <w:szCs w:val="22"/>
          <w:u w:color="000000" w:themeColor="text1"/>
        </w:rPr>
        <w:noBreakHyphen/>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he has failed,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(i)(a)</w:t>
      </w:r>
      <w:r w:rsidRPr="00AF51C2">
        <w:rPr>
          <w:rFonts w:eastAsiaTheme="minorHAnsi"/>
          <w:color w:val="000000" w:themeColor="text1"/>
          <w:szCs w:val="22"/>
          <w:u w:color="000000" w:themeColor="text1"/>
        </w:rPr>
        <w:tab/>
        <w:t>either to apply for available suitable work, when so directed by the employment office or the Commissiondepartment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to accept available suitable work when offered to him by the employment office or an employer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to return to his customary self</w:t>
      </w:r>
      <w:r w:rsidRPr="00AF51C2">
        <w:rPr>
          <w:rFonts w:eastAsiaTheme="minorHAnsi"/>
          <w:color w:val="000000" w:themeColor="text1"/>
          <w:szCs w:val="22"/>
          <w:u w:color="000000" w:themeColor="text1"/>
        </w:rPr>
        <w:noBreakHyphen/>
        <w:t>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if any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when so directed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In determining whether </w:t>
      </w:r>
      <w:r w:rsidRPr="00AF51C2">
        <w:rPr>
          <w:rFonts w:eastAsiaTheme="minorHAnsi"/>
          <w:strike/>
          <w:color w:val="000000" w:themeColor="text1"/>
          <w:szCs w:val="22"/>
          <w:u w:color="000000" w:themeColor="text1"/>
        </w:rPr>
        <w:t>or not any</w:t>
      </w:r>
      <w:r w:rsidRPr="00AF51C2">
        <w:rPr>
          <w:rFonts w:eastAsiaTheme="minorHAnsi"/>
          <w:color w:val="000000" w:themeColor="text1"/>
          <w:szCs w:val="22"/>
          <w:u w:color="000000" w:themeColor="text1"/>
        </w:rPr>
        <w:t xml:space="preserve"> work is suitable for an individual,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is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considered suitable and benefits may not be denied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for </w:t>
      </w:r>
      <w:r w:rsidRPr="00AF51C2">
        <w:rPr>
          <w:rFonts w:eastAsiaTheme="minorHAnsi"/>
          <w:color w:val="000000" w:themeColor="text1"/>
          <w:szCs w:val="22"/>
          <w:u w:color="000000" w:themeColor="text1"/>
        </w:rPr>
        <w:lastRenderedPageBreak/>
        <w:t>refusing to accept new work under any of the following conditions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if the position offered is vacant due directly to a strike, lockout, or other labor dispute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if</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as a condition of being employed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failure to apply for, or refusal to accept, suitable work because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this chapter,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may </w:t>
      </w:r>
      <w:r w:rsidRPr="00AF51C2">
        <w:rPr>
          <w:rFonts w:eastAsiaTheme="minorHAnsi"/>
          <w:color w:val="000000" w:themeColor="text1"/>
          <w:szCs w:val="22"/>
          <w:u w:val="single" w:color="000000" w:themeColor="text1"/>
        </w:rPr>
        <w:t>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because he is in training approved under Section 236(a)(1) of the Trade Act of 1974, nor may the individual be denied benefits by reason of leaving work to enter training, </w:t>
      </w:r>
      <w:r w:rsidRPr="00AF51C2">
        <w:rPr>
          <w:rFonts w:eastAsiaTheme="minorHAnsi"/>
          <w:strike/>
          <w:color w:val="000000" w:themeColor="text1"/>
          <w:szCs w:val="22"/>
          <w:u w:color="000000" w:themeColor="text1"/>
        </w:rPr>
        <w:t>so long as</w:t>
      </w:r>
      <w:r w:rsidRPr="00AF51C2">
        <w:rPr>
          <w:rFonts w:eastAsiaTheme="minorHAnsi"/>
          <w:color w:val="000000" w:themeColor="text1"/>
          <w:szCs w:val="22"/>
          <w:u w:val="single" w:color="000000" w:themeColor="text1"/>
        </w:rPr>
        <w:t>if</w:t>
      </w:r>
      <w:r w:rsidRPr="00AF51C2">
        <w:rPr>
          <w:rFonts w:eastAsiaTheme="minorHAnsi"/>
          <w:color w:val="000000" w:themeColor="text1"/>
          <w:szCs w:val="22"/>
          <w:u w:color="000000" w:themeColor="text1"/>
        </w:rPr>
        <w:t xml:space="preserve"> the work left is not suitable employment, or because of the application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training of provisions in this law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applicable federal unemployment compensation law</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for purposes of the Trade Act of 1974</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t xml:space="preserve">labor dispute.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not participating in, financing, or directly interested in the labor dispute;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t>
      </w:r>
      <w:r w:rsidRPr="00AF51C2">
        <w:rPr>
          <w:rFonts w:eastAsiaTheme="minorHAnsi"/>
          <w:color w:val="000000" w:themeColor="text1"/>
          <w:szCs w:val="22"/>
          <w:u w:color="000000" w:themeColor="text1"/>
        </w:rPr>
        <w:lastRenderedPageBreak/>
        <w:t xml:space="preserve">which the dispute exists, any of whom are participating in or directly interested in the dispute.  If </w:t>
      </w:r>
      <w:r w:rsidRPr="00AF51C2">
        <w:rPr>
          <w:rFonts w:eastAsiaTheme="minorHAnsi"/>
          <w:strike/>
          <w:color w:val="000000" w:themeColor="text1"/>
          <w:szCs w:val="22"/>
          <w:u w:color="000000" w:themeColor="text1"/>
        </w:rPr>
        <w:t>in any case</w:t>
      </w:r>
      <w:r w:rsidRPr="00AF51C2">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is considered to be a separate factory, establishment, or other premises.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color="000000" w:themeColor="text1"/>
        </w:rPr>
        <w:tab/>
        <w:t xml:space="preserve">receiving benefits elsewhere.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 w</w:t>
      </w:r>
      <w:r w:rsidRPr="00AF51C2">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voluntary retirement.  </w:t>
      </w:r>
      <w:r w:rsidRPr="00AF51C2">
        <w:rPr>
          <w:rFonts w:eastAsiaTheme="minorHAnsi"/>
          <w:strike/>
          <w:color w:val="000000" w:themeColor="text1"/>
          <w:szCs w:val="22"/>
          <w:u w:color="000000" w:themeColor="text1"/>
        </w:rPr>
        <w:noBreakHyphen/>
      </w:r>
      <w:r w:rsidRPr="00AF51C2">
        <w:rPr>
          <w:rFonts w:eastAsiaTheme="minorHAnsi"/>
          <w:color w:val="000000" w:themeColor="text1"/>
          <w:szCs w:val="22"/>
          <w:u w:color="000000" w:themeColor="text1"/>
        </w:rPr>
        <w:t xml:space="preserve">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40.  For the purpose of this section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w:t>
      </w:r>
      <w:r w:rsidRPr="00AF51C2">
        <w:rPr>
          <w:rFonts w:eastAsiaTheme="minorHAnsi"/>
          <w:color w:val="000000" w:themeColor="text1"/>
          <w:szCs w:val="22"/>
          <w:u w:color="000000" w:themeColor="text1"/>
        </w:rPr>
        <w:lastRenderedPageBreak/>
        <w:t xml:space="preserve">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subsequent to his most recent employment refused without good cause to accept an offer of suitable work made by </w:t>
      </w:r>
      <w:r w:rsidRPr="00AF51C2">
        <w:rPr>
          <w:rFonts w:eastAsiaTheme="minorHAnsi"/>
          <w:color w:val="000000" w:themeColor="text1"/>
          <w:szCs w:val="22"/>
          <w:u w:color="000000" w:themeColor="text1"/>
        </w:rPr>
        <w:lastRenderedPageBreak/>
        <w:t>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w:t>
      </w:r>
      <w:r w:rsidRPr="00AF51C2">
        <w:rPr>
          <w:rFonts w:eastAsiaTheme="minorHAnsi"/>
          <w:color w:val="000000" w:themeColor="text1"/>
          <w:szCs w:val="22"/>
          <w:u w:color="000000" w:themeColor="text1"/>
        </w:rPr>
        <w:lastRenderedPageBreak/>
        <w:t xml:space="preserve">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w:t>
      </w:r>
      <w:r w:rsidRPr="00AF51C2">
        <w:rPr>
          <w:rFonts w:eastAsiaTheme="minorHAnsi"/>
          <w:color w:val="000000" w:themeColor="text1"/>
          <w:szCs w:val="22"/>
          <w:u w:color="000000" w:themeColor="text1"/>
        </w:rPr>
        <w:lastRenderedPageBreak/>
        <w:t xml:space="preserve">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w:t>
      </w:r>
      <w:r w:rsidRPr="00AF51C2">
        <w:rPr>
          <w:rFonts w:eastAsiaTheme="minorHAnsi"/>
          <w:color w:val="000000" w:themeColor="text1"/>
          <w:szCs w:val="22"/>
          <w:u w:color="000000" w:themeColor="text1"/>
        </w:rPr>
        <w:lastRenderedPageBreak/>
        <w:t>immediately preceding twelve weeks the rate of insured 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w:t>
      </w:r>
      <w:r w:rsidRPr="00AF51C2">
        <w:rPr>
          <w:rFonts w:eastAsiaTheme="minorHAnsi"/>
          <w:color w:val="000000" w:themeColor="text1"/>
          <w:szCs w:val="22"/>
          <w:u w:color="000000" w:themeColor="text1"/>
        </w:rPr>
        <w:lastRenderedPageBreak/>
        <w:t xml:space="preserve">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lastRenderedPageBreak/>
        <w:t>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deemed 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w:t>
      </w:r>
      <w:r w:rsidRPr="00AF51C2">
        <w:rPr>
          <w:rFonts w:eastAsiaTheme="minorHAnsi"/>
          <w:color w:val="000000" w:themeColor="text1"/>
          <w:szCs w:val="22"/>
          <w:u w:color="000000" w:themeColor="text1"/>
        </w:rPr>
        <w:lastRenderedPageBreak/>
        <w:t xml:space="preserve">indicator, or an extended benefit period is to be terminated in this State as a result of a state ‘off’ indicator,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w:t>
      </w:r>
      <w:r w:rsidRPr="00AF51C2">
        <w:rPr>
          <w:rFonts w:eastAsiaTheme="minorHAnsi"/>
          <w:color w:val="000000" w:themeColor="text1"/>
          <w:szCs w:val="22"/>
          <w:u w:color="000000" w:themeColor="text1"/>
        </w:rPr>
        <w:lastRenderedPageBreak/>
        <w:t xml:space="preserve">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w:t>
      </w:r>
      <w:r w:rsidRPr="00AF51C2">
        <w:rPr>
          <w:rFonts w:eastAsiaTheme="minorHAnsi"/>
          <w:color w:val="000000" w:themeColor="text1"/>
          <w:szCs w:val="22"/>
          <w:u w:color="000000" w:themeColor="text1"/>
        </w:rPr>
        <w:lastRenderedPageBreak/>
        <w:t xml:space="preserve">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w:t>
      </w:r>
      <w:r w:rsidRPr="00AF51C2">
        <w:rPr>
          <w:color w:val="000000" w:themeColor="text1"/>
          <w:szCs w:val="24"/>
          <w:u w:color="000000" w:themeColor="text1"/>
        </w:rPr>
        <w:lastRenderedPageBreak/>
        <w:t xml:space="preserve">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a 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w:t>
      </w:r>
      <w:r w:rsidRPr="00AF51C2">
        <w:rPr>
          <w:color w:val="000000" w:themeColor="text1"/>
          <w:szCs w:val="24"/>
          <w:u w:color="000000" w:themeColor="text1"/>
        </w:rPr>
        <w:lastRenderedPageBreak/>
        <w:t xml:space="preserve">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w:t>
      </w:r>
      <w:r w:rsidRPr="00AF51C2">
        <w:rPr>
          <w:color w:val="000000" w:themeColor="text1"/>
          <w:szCs w:val="24"/>
          <w:u w:color="000000" w:themeColor="text1"/>
        </w:rPr>
        <w:lastRenderedPageBreak/>
        <w:t xml:space="preserve">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F78E8"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AF51C2">
        <w:rPr>
          <w:snapToGrid w:val="0"/>
          <w:color w:val="000000" w:themeColor="text1"/>
        </w:rPr>
        <w:t>SECTION 105</w:t>
      </w:r>
      <w:r w:rsidR="009F78E8" w:rsidRPr="00AF51C2">
        <w:rPr>
          <w:snapToGrid w:val="0"/>
          <w:color w:val="000000" w:themeColor="text1"/>
        </w:rPr>
        <w:t xml:space="preserve">. </w:t>
      </w:r>
      <w:r w:rsidR="009F78E8" w:rsidRPr="00AF51C2">
        <w:rPr>
          <w:snapToGrid w:val="0"/>
          <w:color w:val="000000" w:themeColor="text1"/>
        </w:rPr>
        <w:tab/>
        <w:t>Chapter 35, Title 41 of the 1976 Code is amended by adding:</w:t>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snapToGrid w:val="0"/>
          <w:color w:val="000000" w:themeColor="text1"/>
        </w:rPr>
        <w:tab/>
      </w:r>
      <w:r w:rsidRPr="00AF51C2">
        <w:rPr>
          <w:snapToGrid w:val="0"/>
          <w:color w:val="000000" w:themeColor="text1"/>
        </w:rPr>
        <w:tab/>
        <w:t>“</w:t>
      </w:r>
      <w:r w:rsidRPr="00AF51C2">
        <w:rPr>
          <w:color w:val="000000" w:themeColor="text1"/>
          <w:u w:val="single" w:color="000000" w:themeColor="text1"/>
        </w:rPr>
        <w:t>Section 41</w:t>
      </w:r>
      <w:r w:rsidRPr="00AF51C2">
        <w:rPr>
          <w:color w:val="000000" w:themeColor="text1"/>
          <w:u w:val="single" w:color="000000" w:themeColor="text1"/>
        </w:rPr>
        <w:noBreakHyphen/>
        <w:t>35</w:t>
      </w:r>
      <w:r w:rsidRPr="00AF51C2">
        <w:rPr>
          <w:color w:val="000000" w:themeColor="text1"/>
          <w:u w:val="single" w:color="000000" w:themeColor="text1"/>
        </w:rPr>
        <w:noBreakHyphen/>
        <w:t>760.</w:t>
      </w:r>
      <w:r w:rsidRPr="00AF51C2">
        <w:rPr>
          <w:color w:val="000000" w:themeColor="text1"/>
          <w:u w:color="000000" w:themeColor="text1"/>
        </w:rPr>
        <w:t xml:space="preserve"> </w:t>
      </w:r>
      <w:r w:rsidRPr="00AF51C2">
        <w:rPr>
          <w:color w:val="000000" w:themeColor="text1"/>
          <w:u w:color="000000" w:themeColor="text1"/>
        </w:rPr>
        <w:tab/>
      </w:r>
      <w:r w:rsidRPr="00AF51C2">
        <w:rPr>
          <w:color w:val="000000" w:themeColor="text1"/>
          <w:u w:val="single"/>
        </w:rPr>
        <w:t>The department must promulgate all regulations described in this chapter and regulations governing procedures at all hearings and appeals before the department or any member or employee of the department, and publish all regulations on an electronic website.  All regulations must be promulgated in accordance with the provisions of Chapter 23 of Title 1 of the South Carolina Code of Laws.</w:t>
      </w:r>
      <w:r w:rsidRPr="00AF51C2">
        <w:rPr>
          <w:color w:val="000000" w:themeColor="text1"/>
        </w:rPr>
        <w:t>”</w:t>
      </w:r>
      <w:r w:rsidRPr="00AF51C2">
        <w:rPr>
          <w:color w:val="000000" w:themeColor="text1"/>
        </w:rPr>
        <w:tab/>
      </w:r>
    </w:p>
    <w:p w:rsidR="009F78E8"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lastRenderedPageBreak/>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t xml:space="preserve">Unemployment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Requirements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The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t xml:space="preserve">The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rPr>
        <w:lastRenderedPageBreak/>
        <w:t xml:space="preserve">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w:t>
      </w:r>
      <w:r w:rsidRPr="00AF51C2">
        <w:rPr>
          <w:color w:val="000000" w:themeColor="text1"/>
        </w:rPr>
        <w:lastRenderedPageBreak/>
        <w:t xml:space="preserve">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w:t>
      </w:r>
      <w:r w:rsidRPr="00AF51C2">
        <w:rPr>
          <w:color w:val="000000" w:themeColor="text1"/>
          <w:szCs w:val="24"/>
        </w:rPr>
        <w:lastRenderedPageBreak/>
        <w:t xml:space="preserve">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napToGrid w:val="0"/>
        </w:rPr>
        <w:t>SECTION</w:t>
      </w:r>
      <w:r w:rsidRPr="003F0F92">
        <w:rPr>
          <w:snapToGrid w:val="0"/>
        </w:rPr>
        <w:tab/>
        <w:t>117.</w:t>
      </w:r>
      <w:r w:rsidRPr="003F0F92">
        <w:rPr>
          <w:snapToGrid w:val="0"/>
        </w:rPr>
        <w:tab/>
        <w:t xml:space="preserve"> </w:t>
      </w:r>
      <w:r w:rsidRPr="003F0F92">
        <w:rPr>
          <w:szCs w:val="18"/>
        </w:rPr>
        <w:t>The Legislative Audit Council shall contract for three independent management audits of the department’s finance and operations.  This first audit must be completed by July 1, 2011, the second audit must be completed</w:t>
      </w:r>
      <w:r w:rsidR="003F0F92">
        <w:rPr>
          <w:szCs w:val="18"/>
        </w:rPr>
        <w:t xml:space="preserve"> by</w:t>
      </w:r>
      <w:r w:rsidRPr="003F0F92">
        <w:rPr>
          <w:szCs w:val="18"/>
        </w:rPr>
        <w:t xml:space="preserve"> July 1, 2013, and the third audit must be completed</w:t>
      </w:r>
      <w:r w:rsidR="003F0F92">
        <w:rPr>
          <w:szCs w:val="18"/>
        </w:rPr>
        <w:t xml:space="preserve"> by</w:t>
      </w:r>
      <w:r w:rsidRPr="003F0F92">
        <w:rPr>
          <w:szCs w:val="18"/>
        </w:rPr>
        <w:t xml:space="preserve"> July 1, 2018.  The Legislative Audit Council may contract for follow-up audits or conduct follow-up audits as needed based upon the audit’s initial findings.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zCs w:val="18"/>
        </w:rPr>
        <w:tab/>
        <w:t>At minimum, the audits required pursuant to this SECTION must:</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(1)</w:t>
      </w:r>
      <w:r w:rsidRPr="003F0F92">
        <w:tab/>
        <w:t>provide a detailed accounting of the revenues and expenditures from the Unemployment Insurance Trust Fund since 2000;</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(2)</w:t>
      </w:r>
      <w:r w:rsidRPr="003F0F92">
        <w:tab/>
        <w:t>determine the adequacy of the process for notifying state officials of the financial status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(3)</w:t>
      </w:r>
      <w:r w:rsidRPr="003F0F92">
        <w:tab/>
        <w:t>assess alternatives for maintaining the solvency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(4)</w:t>
      </w:r>
      <w:r w:rsidRPr="003F0F92">
        <w:tab/>
        <w:t xml:space="preserve">examine the unemployment eligibility benefit process for efficiency and compliance with law and agency policy; and </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tab/>
        <w:t>(5)</w:t>
      </w:r>
      <w:r w:rsidRPr="003F0F92">
        <w:tab/>
        <w:t>evaluate the effectiveness of the Employment Security Commission’s programs for assisting claimants in returning to work.</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F0F92">
        <w:rPr>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snapToGrid w:val="0"/>
        </w:rPr>
        <w:lastRenderedPageBreak/>
        <w:t>SECTION</w:t>
      </w:r>
      <w:r w:rsidRPr="003F0F92">
        <w:rPr>
          <w:snapToGrid w:val="0"/>
        </w:rPr>
        <w:tab/>
        <w:t>118.</w:t>
      </w:r>
      <w:r w:rsidRPr="003F0F92">
        <w:rPr>
          <w:snapToGrid w:val="0"/>
        </w:rPr>
        <w:tab/>
        <w:t>Section 41</w:t>
      </w:r>
      <w:r w:rsidRPr="003F0F92">
        <w:rPr>
          <w:snapToGrid w:val="0"/>
        </w:rPr>
        <w:noBreakHyphen/>
        <w:t>27</w:t>
      </w:r>
      <w:r w:rsidRPr="003F0F92">
        <w:rPr>
          <w:snapToGrid w:val="0"/>
        </w:rPr>
        <w:noBreakHyphen/>
        <w:t>590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0F92">
        <w:rPr>
          <w:snapToGrid w:val="0"/>
        </w:rPr>
        <w:tab/>
        <w:t>“Section 41</w:t>
      </w:r>
      <w:r w:rsidRPr="003F0F92">
        <w:rPr>
          <w:snapToGrid w:val="0"/>
        </w:rPr>
        <w:noBreakHyphen/>
        <w:t>27</w:t>
      </w:r>
      <w:r w:rsidRPr="003F0F92">
        <w:rPr>
          <w:snapToGrid w:val="0"/>
        </w:rPr>
        <w:noBreakHyphen/>
        <w:t>590.</w:t>
      </w:r>
      <w:r w:rsidRPr="003F0F92">
        <w:rPr>
          <w:snapToGrid w:val="0"/>
        </w:rPr>
        <w:tab/>
      </w:r>
      <w:r w:rsidRPr="003F0F92">
        <w:rPr>
          <w:snapToGrid w:val="0"/>
          <w:u w:val="single"/>
        </w:rPr>
        <w:t>(A)</w:t>
      </w:r>
      <w:r w:rsidRPr="003F0F92">
        <w:rPr>
          <w:snapToGrid w:val="0"/>
        </w:rPr>
        <w:tab/>
      </w:r>
      <w:r w:rsidRPr="003F0F92">
        <w:t xml:space="preserve">All criminal actions for violation of any provision of Chapters 27 through 41 of this </w:t>
      </w:r>
      <w:r w:rsidRPr="003F0F92">
        <w:rPr>
          <w:strike/>
        </w:rPr>
        <w:t>Title</w:t>
      </w:r>
      <w:r w:rsidRPr="003F0F92">
        <w:t xml:space="preserve"> </w:t>
      </w:r>
      <w:r w:rsidRPr="003F0F92">
        <w:rPr>
          <w:u w:val="single"/>
        </w:rPr>
        <w:t>title</w:t>
      </w:r>
      <w:r w:rsidRPr="003F0F92">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F0F92">
        <w:tab/>
      </w:r>
      <w:r w:rsidRPr="003F0F92">
        <w:rPr>
          <w:u w:val="single"/>
        </w:rPr>
        <w:t>(B)</w:t>
      </w:r>
      <w:r w:rsidRPr="003F0F92">
        <w:tab/>
      </w:r>
      <w:r w:rsidRPr="003F0F92">
        <w:rPr>
          <w:u w:val="single"/>
        </w:rPr>
        <w:t>The department must refer all cases of significant claimant and/or employer fraud to the Attorney General to determine whether to prosecute the offender.</w:t>
      </w:r>
      <w:r w:rsidRPr="003F0F92">
        <w:t>”</w:t>
      </w:r>
    </w:p>
    <w:p w:rsidR="00E53AEF" w:rsidRPr="003F0F9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119</w:t>
      </w:r>
      <w:r w:rsidR="009F716E" w:rsidRPr="00AF51C2">
        <w:rPr>
          <w:color w:val="000000" w:themeColor="text1"/>
          <w:szCs w:val="24"/>
        </w:rPr>
        <w:t>.</w:t>
      </w:r>
      <w:r w:rsidR="003F0F92">
        <w:rPr>
          <w:color w:val="000000" w:themeColor="text1"/>
          <w:szCs w:val="24"/>
        </w:rPr>
        <w:tab/>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120</w:t>
      </w:r>
      <w:r w:rsidR="009F716E" w:rsidRPr="00AF51C2">
        <w:rPr>
          <w:color w:val="000000" w:themeColor="text1"/>
          <w:szCs w:val="24"/>
        </w:rPr>
        <w:t>.</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121</w:t>
      </w:r>
      <w:r w:rsidR="009F78E8" w:rsidRPr="00AF51C2">
        <w:rPr>
          <w:color w:val="000000" w:themeColor="text1"/>
        </w:rPr>
        <w:t>.</w:t>
      </w:r>
      <w:r w:rsidR="003F0F92">
        <w:rPr>
          <w:color w:val="000000" w:themeColor="text1"/>
        </w:rPr>
        <w:tab/>
      </w:r>
      <w:r w:rsidR="003F0F92">
        <w:rPr>
          <w:color w:val="000000" w:themeColor="text1"/>
        </w:rPr>
        <w:tab/>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w:t>
      </w:r>
      <w:r w:rsidRPr="00AF51C2">
        <w:rPr>
          <w:color w:val="000000" w:themeColor="text1"/>
          <w:sz w:val="22"/>
          <w:u w:color="000000" w:themeColor="text1"/>
        </w:rPr>
        <w:lastRenderedPageBreak/>
        <w:t xml:space="preserve">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w:t>
      </w:r>
      <w:r w:rsidR="00A80FBD">
        <w:rPr>
          <w:color w:val="000000" w:themeColor="text1"/>
          <w:u w:color="000000" w:themeColor="text1"/>
        </w:rPr>
        <w:t>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1C726A">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0F3" w:rsidRDefault="00ED20F3">
      <w:r>
        <w:separator/>
      </w:r>
    </w:p>
  </w:endnote>
  <w:endnote w:type="continuationSeparator" w:id="0">
    <w:p w:rsidR="00ED20F3" w:rsidRDefault="00ED20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3070E-14AD-4624-ABA1-418C338E99CE}"/>
    <w:embedBold r:id="rId2" w:fontKey="{D0D329E0-6BF3-4F52-94B8-3E4618EA3E7C}"/>
  </w:font>
  <w:font w:name="Calibri">
    <w:panose1 w:val="020F0502020204030204"/>
    <w:charset w:val="00"/>
    <w:family w:val="swiss"/>
    <w:pitch w:val="variable"/>
    <w:sig w:usb0="A00002EF" w:usb1="4000207B" w:usb2="00000000" w:usb3="00000000" w:csb0="0000009F" w:csb1="00000000"/>
    <w:embedRegular r:id="rId3" w:fontKey="{3EF91E39-76F5-4ADD-8EC3-C641FE8B2215}"/>
  </w:font>
  <w:font w:name="Tahoma">
    <w:panose1 w:val="020B0604030504040204"/>
    <w:charset w:val="00"/>
    <w:family w:val="swiss"/>
    <w:pitch w:val="variable"/>
    <w:sig w:usb0="61002A87" w:usb1="80000000" w:usb2="00000008" w:usb3="00000000" w:csb0="000101FF" w:csb1="00000000"/>
    <w:embedRegular r:id="rId4" w:fontKey="{B1F8D616-3EC7-4ED7-8F69-8EA06F83284E}"/>
  </w:font>
  <w:font w:name="Cambria">
    <w:panose1 w:val="02040503050406030204"/>
    <w:charset w:val="00"/>
    <w:family w:val="roman"/>
    <w:pitch w:val="variable"/>
    <w:sig w:usb0="A00002EF" w:usb1="4000004B" w:usb2="00000000" w:usb3="00000000" w:csb0="0000009F" w:csb1="00000000"/>
    <w:embedRegular r:id="rId5" w:fontKey="{A62B47D1-3311-4CBA-BA97-121A8F3E74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F3" w:rsidRDefault="00ED20F3">
    <w:pPr>
      <w:pStyle w:val="Footer"/>
      <w:tabs>
        <w:tab w:val="clear" w:pos="4680"/>
        <w:tab w:val="clear" w:pos="9360"/>
        <w:tab w:val="center" w:pos="2995"/>
      </w:tabs>
      <w:spacing w:before="120"/>
    </w:pPr>
    <w:r>
      <w:t>[391-</w:t>
    </w:r>
    <w:fldSimple w:instr=" PAGE  \* MERGEFORMAT ">
      <w:r w:rsidR="001C72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F3" w:rsidRDefault="00ED20F3">
    <w:pPr>
      <w:pStyle w:val="Footer"/>
      <w:tabs>
        <w:tab w:val="clear" w:pos="4680"/>
        <w:tab w:val="clear" w:pos="9360"/>
        <w:tab w:val="center" w:pos="2995"/>
      </w:tabs>
      <w:spacing w:before="120"/>
    </w:pPr>
    <w:r>
      <w:t>[391]</w:t>
    </w:r>
    <w:r>
      <w:tab/>
    </w:r>
    <w:fldSimple w:instr=" PAGE  \* MERGEFORMAT ">
      <w:r w:rsidR="001C72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0F3" w:rsidRDefault="00ED20F3">
      <w:r>
        <w:separator/>
      </w:r>
    </w:p>
  </w:footnote>
  <w:footnote w:type="continuationSeparator" w:id="0">
    <w:p w:rsidR="00ED20F3" w:rsidRDefault="00ED20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1C726A"/>
    <w:rsid w:val="00310563"/>
    <w:rsid w:val="003D2604"/>
    <w:rsid w:val="003F0F92"/>
    <w:rsid w:val="005039AB"/>
    <w:rsid w:val="005240F6"/>
    <w:rsid w:val="00713592"/>
    <w:rsid w:val="008910EF"/>
    <w:rsid w:val="008D770C"/>
    <w:rsid w:val="00946432"/>
    <w:rsid w:val="009B5E2F"/>
    <w:rsid w:val="009C5979"/>
    <w:rsid w:val="009F62B0"/>
    <w:rsid w:val="009F716E"/>
    <w:rsid w:val="009F78E8"/>
    <w:rsid w:val="00A80FBD"/>
    <w:rsid w:val="00AF51C2"/>
    <w:rsid w:val="00C229B2"/>
    <w:rsid w:val="00E53AEF"/>
    <w:rsid w:val="00ED20F3"/>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AD4DD-E9D4-4F32-9D84-924E3643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25329</Words>
  <Characters>144381</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2010-02-11T18:51:00Z</cp:lastPrinted>
  <dcterms:created xsi:type="dcterms:W3CDTF">2010-02-17T21:46:00Z</dcterms:created>
  <dcterms:modified xsi:type="dcterms:W3CDTF">2010-02-17T21:46:00Z</dcterms:modified>
</cp:coreProperties>
</file>