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TO AMEND THE CODE OF LAWS OF SOUTH CAROLINA, 1976, BY ADDING SECTION 38</w:t>
      </w:r>
      <w:r>
        <w:noBreakHyphen/>
        <w:t>59</w:t>
      </w:r>
      <w:r>
        <w:noBreakHyphen/>
        <w:t>410 SO AS TO PROVIDE PROCEDURES FOR LIMITING THE NUMBER OF MEDICAL SERVICES AND SUPPLIES REQUIRING PREAUTHORIZATION BY AN INSURER.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59,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38</w:t>
      </w:r>
      <w:r>
        <w:noBreakHyphen/>
        <w:t>59</w:t>
      </w:r>
      <w:r>
        <w:noBreakHyphen/>
        <w:t>410.</w:t>
      </w:r>
      <w:r>
        <w:tab/>
      </w:r>
      <w:r>
        <w:rPr>
          <w:rFonts w:eastAsia="MS Mincho"/>
        </w:rPr>
        <w:t>(A)</w:t>
      </w:r>
      <w:r>
        <w:rPr>
          <w:rFonts w:eastAsia="MS Mincho"/>
        </w:rPr>
        <w:tab/>
        <w:t xml:space="preserve">An insurer shall limit the number of services and supplies requiring precertification or preauthorization, and shall standardize the services and supplies for which precertification is required within each market, line of business, or product.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Subsection (A) does not make it unlawful for an insurer to require precertification or preauthorization for services and supplies. However, an insurer’s precertification or preauthorization process must be based on response to market conditions, medical technology, or utilization patterns, or a combination of these, and a process must not be based purely on financial considerations.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An insurer’s precertification or preauthorization of services or supplies must guarantee payment for services or supplies.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An insurer shall furnish, upon request, a current list of services and supplies requiring precertification or preauthorization.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(E)</w:t>
      </w:r>
      <w:r>
        <w:rPr>
          <w:rFonts w:eastAsia="MS Mincho"/>
        </w:rPr>
        <w:tab/>
        <w:t>An insurer shall post a current list of services and supplies requiring precertification or preauthorization to the insurer’s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671042-46E1-481E-9B72-025DB5486E18}"/>
    <w:embedBold r:id="rId2" w:fontKey="{54877943-EEB4-49B7-88DA-678110A6A383}"/>
  </w:font>
  <w:font w:name="Calibri">
    <w:panose1 w:val="020F0502020204030204"/>
    <w:charset w:val="00"/>
    <w:family w:val="swiss"/>
    <w:pitch w:val="variable"/>
    <w:sig w:usb0="A00002EF" w:usb1="4000207B" w:usb2="00000000" w:usb3="00000000" w:csb0="0000009F" w:csb1="00000000"/>
    <w:embedRegular r:id="rId3" w:fontKey="{3191436F-402A-4651-9DB8-0598A88D027D}"/>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47515A9F-7C83-48C5-AC68-AF2CCE575C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706DW09"/>
    <w:docVar w:name="CoverBillType" w:val="b"/>
    <w:docVar w:name="docpath" w:val="L:\Council\bills\DKA\3706DW09.DOCX"/>
    <w:docVar w:name="dvBillNumber" w:val="3939"/>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1860</Characters>
  <Application>Microsoft Office Word</Application>
  <DocSecurity>0</DocSecurity>
  <Lines>15</Lines>
  <Paragraphs>4</Paragraphs>
  <ScaleCrop>false</ScaleCrop>
  <Company> </Company>
  <LinksUpToDate>false</LinksUpToDate>
  <CharactersWithSpaces>2182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2009-04-02T15:02:00Z</cp:lastPrinted>
  <dcterms:created xsi:type="dcterms:W3CDTF">2009-04-22T19:33:00Z</dcterms:created>
  <dcterms:modified xsi:type="dcterms:W3CDTF">2009-04-22T19:33:00Z</dcterms:modified>
</cp:coreProperties>
</file>