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8C6F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44</w:t>
      </w:r>
      <w:r>
        <w:noBreakHyphen/>
        <w:t>53</w:t>
      </w:r>
      <w:r>
        <w:noBreakHyphen/>
        <w:t>190,</w:t>
      </w:r>
      <w:r w:rsidR="00ED0A40">
        <w:t xml:space="preserve"> AS AMENDED,</w:t>
      </w:r>
      <w:r>
        <w:t xml:space="preserve"> 44</w:t>
      </w:r>
      <w:r>
        <w:noBreakHyphen/>
        <w:t>53</w:t>
      </w:r>
      <w:r>
        <w:noBreakHyphen/>
        <w:t>210, 44</w:t>
      </w:r>
      <w:r>
        <w:noBreakHyphen/>
        <w:t>53</w:t>
      </w:r>
      <w:r>
        <w:noBreakHyphen/>
        <w:t>230, 44</w:t>
      </w:r>
      <w:r>
        <w:noBreakHyphen/>
        <w:t>53</w:t>
      </w:r>
      <w:r>
        <w:noBreakHyphen/>
        <w:t>250, AND 44</w:t>
      </w:r>
      <w:r>
        <w:noBreakHyphen/>
        <w:t>53</w:t>
      </w:r>
      <w:r>
        <w:noBreakHyphen/>
        <w:t>270, CODE OF LAWS OF SOUTH CAROLINA, 1976, RELATING, RESPECTIVELY, TO SCHEDULES I THROUGH V CONTROLLED SUBSTANCES AND THE DESIGNATED DRUGS IN EACH SCHEDULE, SO AS TO PROVIDE THAT ANY SUBSTANCE DECLARED A CONTROLLED SUBSTANCE IN THE RESPECTIVE SCHEDULES BY THE UNITED STATES DEPARTMENT OF JUSTICE IS CONSIDERED A CONTROLLED SUBSTANCE UPON THE EFFECTIVE DATE SPECIFIED IN THE FEDERAL REGISTER ANNOUNCING THE DESIGNATION</w:t>
      </w:r>
      <w:r w:rsidR="00ED0A40">
        <w:t>;</w:t>
      </w:r>
      <w:r>
        <w:t xml:space="preserve"> AND TO AMEND SECTION 44</w:t>
      </w:r>
      <w:r>
        <w:noBreakHyphen/>
        <w:t>53</w:t>
      </w:r>
      <w:r>
        <w:noBreakHyphen/>
        <w:t>370, AS AMENDED, RELATING TO CRIMINAL PENALTIES FOR CONTROLLED SUBSTANCE VIOLATIONS, SO AS TO PROVIDE THAT IT IS UNLAWFUL TO POSSESS ONE GRAM, RATHER THAN 10 GRAINS, OF COCAINE.</w:t>
      </w:r>
    </w:p>
    <w:p w:rsidR="008C6FEA" w:rsidRDefault="008C6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C6FEA" w:rsidRDefault="008C6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FEA" w:rsidRDefault="008C6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190(a) of the 1976 Code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00054">
        <w:t>The controlled substances listed in this section are included in Schedule I.</w:t>
      </w:r>
      <w:r w:rsidR="00ED0A40">
        <w:t xml:space="preserve"> </w:t>
      </w:r>
      <w:r w:rsidRPr="00200054">
        <w:t xml:space="preserve"> </w:t>
      </w:r>
      <w:r>
        <w:rPr>
          <w:u w:val="single"/>
        </w:rPr>
        <w:t>Any other substance declared a controlled substance in Schedule I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1308.11, m</w:t>
      </w:r>
      <w:r w:rsidR="00ED0A40">
        <w:rPr>
          <w:u w:val="single"/>
        </w:rPr>
        <w:t>ust be considered a Schedule I c</w:t>
      </w:r>
      <w:r>
        <w:rPr>
          <w:u w:val="single"/>
        </w:rPr>
        <w:t>ontrolled substance within the meaning of this section upon the effective date specified in the Federal Register announcement.</w:t>
      </w:r>
      <w:r>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44</w:t>
      </w:r>
      <w:r>
        <w:noBreakHyphen/>
        <w:t>53</w:t>
      </w:r>
      <w:r>
        <w:noBreakHyphen/>
        <w:t>210(a) of the 1976 Code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Pr="007537F6"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r>
      <w:r w:rsidRPr="00200054">
        <w:t xml:space="preserve">The controlled substances listed in this section are included in Schedule II. </w:t>
      </w:r>
      <w:r>
        <w:rPr>
          <w:u w:val="single"/>
        </w:rPr>
        <w:t>Any other substance declared a controlled substance in Schedule II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1308.12, must be considered a Schedule II controlled substance within the meaning of this section upon the effective date specified in the Federal Register announcement.</w:t>
      </w:r>
      <w:r w:rsidRPr="007537F6">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53</w:t>
      </w:r>
      <w:r>
        <w:noBreakHyphen/>
        <w:t>230(a) of the 1976 Code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Pr="006631E6"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ED0A40">
        <w:t>“</w:t>
      </w:r>
      <w:r>
        <w:t>(a)</w:t>
      </w:r>
      <w:r>
        <w:tab/>
      </w:r>
      <w:r w:rsidRPr="00200054">
        <w:t xml:space="preserve">The controlled substances listed in this section are included in Schedule III. </w:t>
      </w:r>
      <w:r>
        <w:rPr>
          <w:u w:val="single"/>
        </w:rPr>
        <w:t>Any other substance declared a controlled substance in Schedule III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1308.13, must be considered a Schedule II</w:t>
      </w:r>
      <w:r w:rsidR="00ED0A40">
        <w:rPr>
          <w:u w:val="single"/>
        </w:rPr>
        <w:t>I</w:t>
      </w:r>
      <w:r>
        <w:rPr>
          <w:u w:val="single"/>
        </w:rPr>
        <w:t xml:space="preserve"> controlled substance within the meaning of this section upon the effective date specified in the Federal Register announcement.</w:t>
      </w:r>
      <w:r w:rsidRPr="007537F6">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That</w:t>
      </w:r>
      <w:r w:rsidR="00DB78FF">
        <w:t xml:space="preserve"> undesignated</w:t>
      </w:r>
      <w:r>
        <w:t xml:space="preserve"> portion of Section 44</w:t>
      </w:r>
      <w:r>
        <w:noBreakHyphen/>
        <w:t>53</w:t>
      </w:r>
      <w:r>
        <w:noBreakHyphen/>
      </w:r>
      <w:r w:rsidR="00DB78FF">
        <w:t>250 preceding subsection (a)</w:t>
      </w:r>
      <w:r>
        <w:t xml:space="preserv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controlled substances in this section are included in Schedule IV. </w:t>
      </w:r>
      <w:r>
        <w:rPr>
          <w:u w:val="single"/>
        </w:rPr>
        <w:t>Any other substance declared a controlled  substance in Schedule IV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1308.14, must be considered a Schedule I</w:t>
      </w:r>
      <w:r w:rsidR="00ED0A40">
        <w:rPr>
          <w:u w:val="single"/>
        </w:rPr>
        <w:t>V</w:t>
      </w:r>
      <w:r>
        <w:rPr>
          <w:u w:val="single"/>
        </w:rPr>
        <w:t xml:space="preserve"> controlled substance within the meaning of this section upon the effective date specified in the Federal Register announcement.</w:t>
      </w:r>
      <w:r w:rsidRPr="007537F6">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53</w:t>
      </w:r>
      <w:r>
        <w:noBreakHyphen/>
        <w:t>270(a) of the 1976 Code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controlled substances listed in this section are included in Schedule V. </w:t>
      </w:r>
      <w:r>
        <w:rPr>
          <w:u w:val="single"/>
        </w:rPr>
        <w:t>Any other substance declared a con</w:t>
      </w:r>
      <w:r w:rsidR="00DE4AB9">
        <w:rPr>
          <w:u w:val="single"/>
        </w:rPr>
        <w:t xml:space="preserve">trolled  substance in Schedule </w:t>
      </w:r>
      <w:r>
        <w:rPr>
          <w:u w:val="single"/>
        </w:rPr>
        <w:t>V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1308.15, must be </w:t>
      </w:r>
      <w:r w:rsidR="00ED0A40">
        <w:rPr>
          <w:u w:val="single"/>
        </w:rPr>
        <w:lastRenderedPageBreak/>
        <w:t>considered a Schedule V</w:t>
      </w:r>
      <w:r>
        <w:rPr>
          <w:u w:val="single"/>
        </w:rPr>
        <w:t xml:space="preserve"> controlled substance within the meaning of this section upon the effective date specified in the Federal Register announcement.</w:t>
      </w:r>
      <w:r w:rsidRPr="007537F6">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noBreakHyphen/>
        <w:t>53</w:t>
      </w:r>
      <w:r>
        <w:noBreakHyphen/>
        <w:t>370(d)(4) of the 1976 Code, as last amended by Act 127 of 2005, is further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Pr="00200054"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200054">
        <w:t xml:space="preserve">possession of more than: </w:t>
      </w:r>
      <w:r w:rsidRPr="00672B6D">
        <w:rPr>
          <w:strike/>
        </w:rPr>
        <w:t>ten grains</w:t>
      </w:r>
      <w:r>
        <w:t xml:space="preserve"> </w:t>
      </w:r>
      <w:r>
        <w:rPr>
          <w:u w:val="single"/>
        </w:rPr>
        <w:t>one gram</w:t>
      </w:r>
      <w:r w:rsidRPr="00200054">
        <w:t xml:space="preserve"> of cocaine, one hundred milligrams of alpha</w:t>
      </w:r>
      <w:r>
        <w:noBreakHyphen/>
      </w:r>
      <w:r w:rsidRPr="00200054">
        <w:t xml:space="preserve"> or beta</w:t>
      </w:r>
      <w:r>
        <w:noBreakHyphen/>
      </w:r>
      <w:r w:rsidRPr="00200054">
        <w:t>eucaine, four grains of opium, four grains of morphine, two grains of heroin, one hundred milligrams of isonipecaine, twenty</w:t>
      </w:r>
      <w:r>
        <w:noBreakHyphen/>
      </w:r>
      <w:r w:rsidRPr="00200054">
        <w:t>eight grams or one ounce of marijuana, ten grams of hashish, fifty micrograms of lysergic acid diethylamide (LSD) or its compounds, fifteen tablets, capsules, dosage units, or the equivalent quantity of 3, 4</w:t>
      </w:r>
      <w:r>
        <w:noBreakHyphen/>
      </w:r>
      <w:r w:rsidRPr="00200054">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noBreakHyphen/>
      </w:r>
      <w:r w:rsidRPr="00200054">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noBreakHyphen/>
      </w:r>
      <w:r w:rsidRPr="00200054">
        <w:t>53</w:t>
      </w:r>
      <w:r>
        <w:noBreakHyphen/>
      </w:r>
      <w:r w:rsidRPr="00200054">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noBreakHyphen/>
      </w:r>
      <w:r w:rsidRPr="00200054">
        <w:t>22</w:t>
      </w:r>
      <w:r>
        <w:noBreakHyphen/>
      </w:r>
      <w:r w:rsidRPr="00200054">
        <w:t>10 through 17</w:t>
      </w:r>
      <w:r>
        <w:noBreakHyphen/>
      </w:r>
      <w:r w:rsidRPr="00200054">
        <w:t>22</w:t>
      </w:r>
      <w:r>
        <w:noBreakHyphen/>
      </w:r>
      <w:r w:rsidRPr="00200054">
        <w:t xml:space="preserve">160.  For a second or subsequent offense, the offender is guilty of a misdemeanor and, upon conviction, must be imprisoned not more than one year or fined not less than two hundred dollars nor more than one thousand dollars, or both. </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0054">
        <w:t>When a person is charged under this subsection for possession of controlled substances, bail shall not exceed the amount of the fine and the assessment provided pursuant to Section 14</w:t>
      </w:r>
      <w:r>
        <w:noBreakHyphen/>
      </w:r>
      <w:r w:rsidRPr="00200054">
        <w:t>1</w:t>
      </w:r>
      <w:r>
        <w:noBreakHyphen/>
      </w:r>
      <w:r w:rsidRPr="00200054">
        <w:t>206, 14</w:t>
      </w:r>
      <w:r>
        <w:noBreakHyphen/>
      </w:r>
      <w:r w:rsidRPr="00200054">
        <w:t>1</w:t>
      </w:r>
      <w:r>
        <w:noBreakHyphen/>
      </w:r>
      <w:r w:rsidRPr="00200054">
        <w:t>207, or 14</w:t>
      </w:r>
      <w:r>
        <w:noBreakHyphen/>
      </w:r>
      <w:r w:rsidRPr="00200054">
        <w:t>1</w:t>
      </w:r>
      <w:r>
        <w:noBreakHyphen/>
      </w:r>
      <w:r w:rsidRPr="00200054">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noBreakHyphen/>
      </w:r>
      <w:r w:rsidRPr="00200054">
        <w:t>1</w:t>
      </w:r>
      <w:r>
        <w:noBreakHyphen/>
      </w:r>
      <w:r w:rsidRPr="00200054">
        <w:t xml:space="preserve">205.  The assessment </w:t>
      </w:r>
      <w:r w:rsidRPr="00200054">
        <w:lastRenderedPageBreak/>
        <w:t>portion of the bail must be distributed as provided in Section 14</w:t>
      </w:r>
      <w:r>
        <w:noBreakHyphen/>
      </w:r>
      <w:r w:rsidRPr="00200054">
        <w:t>1</w:t>
      </w:r>
      <w:r>
        <w:noBreakHyphen/>
      </w:r>
      <w:r w:rsidRPr="00200054">
        <w:t>206, 14</w:t>
      </w:r>
      <w:r>
        <w:noBreakHyphen/>
      </w:r>
      <w:r w:rsidRPr="00200054">
        <w:t>1</w:t>
      </w:r>
      <w:r>
        <w:noBreakHyphen/>
      </w:r>
      <w:r w:rsidRPr="00200054">
        <w:t>207, or 14</w:t>
      </w:r>
      <w:r>
        <w:noBreakHyphen/>
      </w:r>
      <w:r w:rsidRPr="00200054">
        <w:t>1</w:t>
      </w:r>
      <w:r>
        <w:noBreakHyphen/>
        <w:t>208, whichever is applicable.”</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E60BFD" w:rsidRDefault="00DC3A9C" w:rsidP="009C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0BFD" w:rsidRDefault="00E60BFD" w:rsidP="00E60BFD">
      <w:pPr>
        <w:suppressAutoHyphens/>
      </w:pPr>
    </w:p>
    <w:sectPr w:rsidR="00E60BFD" w:rsidSect="00E60B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FEA" w:rsidRDefault="008C6FEA" w:rsidP="009F0C77">
      <w:r>
        <w:separator/>
      </w:r>
    </w:p>
  </w:endnote>
  <w:endnote w:type="continuationSeparator" w:id="0">
    <w:p w:rsidR="008C6FEA" w:rsidRDefault="008C6F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C27387-69FC-4818-8832-C7FAAA78F567}"/>
    <w:embedBold r:id="rId2" w:fontKey="{888E5B84-62B5-496B-8F96-A836C1C5B1AC}"/>
  </w:font>
  <w:font w:name="Calibri">
    <w:panose1 w:val="020F0502020204030204"/>
    <w:charset w:val="00"/>
    <w:family w:val="swiss"/>
    <w:pitch w:val="variable"/>
    <w:sig w:usb0="A00002EF" w:usb1="4000207B" w:usb2="00000000" w:usb3="00000000" w:csb0="0000009F" w:csb1="00000000"/>
    <w:embedRegular r:id="rId3" w:fontKey="{DD094180-2BA6-49B6-94A5-FAF7250B61F4}"/>
  </w:font>
  <w:font w:name="Tahoma">
    <w:panose1 w:val="020B0604030504040204"/>
    <w:charset w:val="00"/>
    <w:family w:val="swiss"/>
    <w:pitch w:val="variable"/>
    <w:sig w:usb0="61002A87" w:usb1="80000000" w:usb2="00000008" w:usb3="00000000" w:csb0="000101FF" w:csb1="00000000"/>
    <w:embedRegular r:id="rId4" w:fontKey="{84E74B51-975A-4617-B17B-854EA42EE552}"/>
  </w:font>
  <w:font w:name="Cambria">
    <w:panose1 w:val="02040503050406030204"/>
    <w:charset w:val="00"/>
    <w:family w:val="roman"/>
    <w:pitch w:val="variable"/>
    <w:sig w:usb0="A00002EF" w:usb1="4000004B" w:usb2="00000000" w:usb3="00000000" w:csb0="0000009F" w:csb1="00000000"/>
    <w:embedRegular r:id="rId5" w:fontKey="{8BDEF203-DAF7-4C70-8B82-B20F8A4190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6" w:rsidRPr="00E60BFD" w:rsidRDefault="00E60BFD" w:rsidP="00E60BFD">
    <w:pPr>
      <w:pStyle w:val="Footer"/>
      <w:tabs>
        <w:tab w:val="clear" w:pos="4680"/>
        <w:tab w:val="clear" w:pos="9360"/>
        <w:tab w:val="center" w:pos="2995"/>
      </w:tabs>
      <w:spacing w:before="120"/>
    </w:pPr>
    <w:r>
      <w:t>[4255]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FEA" w:rsidRDefault="008C6FEA" w:rsidP="009F0C77">
      <w:r>
        <w:separator/>
      </w:r>
    </w:p>
  </w:footnote>
  <w:footnote w:type="continuationSeparator" w:id="0">
    <w:p w:rsidR="008C6FEA" w:rsidRDefault="008C6F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5AB10"/>
    <w:docVar w:name="CoverBillType" w:val="b"/>
    <w:docVar w:name="docpath" w:val="L:\Council\bills\NBD\11605AB10.DOCX"/>
    <w:docVar w:name="dvBillNumber" w:val="4255"/>
    <w:docVar w:name="dvBillNumberPrefix" w:val="H. "/>
    <w:docVar w:name="dvOriginalBody" w:val="House"/>
    <w:docVar w:name="dvSteno" w:val="NBD"/>
    <w:docVar w:name="NameofBody" w:val="h"/>
    <w:docVar w:name="vgroup2" w:val="Council"/>
  </w:docVars>
  <w:rsids>
    <w:rsidRoot w:val="001D02ED"/>
    <w:rsid w:val="00011869"/>
    <w:rsid w:val="00021DA9"/>
    <w:rsid w:val="000E1785"/>
    <w:rsid w:val="000F40FA"/>
    <w:rsid w:val="0010776B"/>
    <w:rsid w:val="00116236"/>
    <w:rsid w:val="00133E66"/>
    <w:rsid w:val="001435A3"/>
    <w:rsid w:val="001D02ED"/>
    <w:rsid w:val="001D08F2"/>
    <w:rsid w:val="001D525B"/>
    <w:rsid w:val="001D7F4F"/>
    <w:rsid w:val="002321B6"/>
    <w:rsid w:val="00250967"/>
    <w:rsid w:val="00252CFD"/>
    <w:rsid w:val="002543C8"/>
    <w:rsid w:val="002770E7"/>
    <w:rsid w:val="0028003B"/>
    <w:rsid w:val="00284AAE"/>
    <w:rsid w:val="002E5912"/>
    <w:rsid w:val="003057D7"/>
    <w:rsid w:val="00325348"/>
    <w:rsid w:val="0032732C"/>
    <w:rsid w:val="00336AD0"/>
    <w:rsid w:val="0037079A"/>
    <w:rsid w:val="003A26F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18E"/>
    <w:rsid w:val="006913C9"/>
    <w:rsid w:val="0069470D"/>
    <w:rsid w:val="00734F00"/>
    <w:rsid w:val="007A70AE"/>
    <w:rsid w:val="008362E8"/>
    <w:rsid w:val="008A1768"/>
    <w:rsid w:val="008C6FEA"/>
    <w:rsid w:val="008D2597"/>
    <w:rsid w:val="008F4429"/>
    <w:rsid w:val="0094021A"/>
    <w:rsid w:val="009C318F"/>
    <w:rsid w:val="009C6A0B"/>
    <w:rsid w:val="009E2C61"/>
    <w:rsid w:val="009F0C77"/>
    <w:rsid w:val="009F4DD1"/>
    <w:rsid w:val="00A41684"/>
    <w:rsid w:val="00A64E80"/>
    <w:rsid w:val="00A72BCD"/>
    <w:rsid w:val="00A741D9"/>
    <w:rsid w:val="00A833AB"/>
    <w:rsid w:val="00A95101"/>
    <w:rsid w:val="00A9741D"/>
    <w:rsid w:val="00AC6895"/>
    <w:rsid w:val="00AD4B17"/>
    <w:rsid w:val="00B412D4"/>
    <w:rsid w:val="00BE3C22"/>
    <w:rsid w:val="00C0345E"/>
    <w:rsid w:val="00C3483A"/>
    <w:rsid w:val="00C74E9D"/>
    <w:rsid w:val="00C82FD3"/>
    <w:rsid w:val="00C92819"/>
    <w:rsid w:val="00CC6B7B"/>
    <w:rsid w:val="00CD2089"/>
    <w:rsid w:val="00D73A67"/>
    <w:rsid w:val="00D970A9"/>
    <w:rsid w:val="00DB78FF"/>
    <w:rsid w:val="00DC3A9C"/>
    <w:rsid w:val="00DE4AB9"/>
    <w:rsid w:val="00DF3845"/>
    <w:rsid w:val="00E41911"/>
    <w:rsid w:val="00E60BFD"/>
    <w:rsid w:val="00E92EEF"/>
    <w:rsid w:val="00ED0A40"/>
    <w:rsid w:val="00ED48B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78FF"/>
    <w:rPr>
      <w:rFonts w:ascii="Tahoma" w:hAnsi="Tahoma" w:cs="Tahoma"/>
      <w:sz w:val="16"/>
      <w:szCs w:val="16"/>
    </w:rPr>
  </w:style>
  <w:style w:type="character" w:customStyle="1" w:styleId="BalloonTextChar">
    <w:name w:val="Balloon Text Char"/>
    <w:basedOn w:val="DefaultParagraphFont"/>
    <w:link w:val="BalloonText"/>
    <w:uiPriority w:val="99"/>
    <w:semiHidden/>
    <w:rsid w:val="00DB78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EB70B-76DA-4BB5-8830-F0CF6F4CB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899</Words>
  <Characters>5126</Characters>
  <Application>Microsoft Office Word</Application>
  <DocSecurity>0</DocSecurity>
  <Lines>42</Lines>
  <Paragraphs>12</Paragraphs>
  <ScaleCrop>false</ScaleCrop>
  <Company> </Company>
  <LinksUpToDate>false</LinksUpToDate>
  <CharactersWithSpaces>6013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2009-12-09T13:55:00Z</cp:lastPrinted>
  <dcterms:created xsi:type="dcterms:W3CDTF">2009-12-15T19:17:00Z</dcterms:created>
  <dcterms:modified xsi:type="dcterms:W3CDTF">2009-12-15T19:17:00Z</dcterms:modified>
</cp:coreProperties>
</file>