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3F2F" w:rsidRDefault="00DE3F2F" w:rsidP="00DE3F2F">
      <w:pPr>
        <w:widowControl w:val="0"/>
        <w:jc w:val="center"/>
      </w:pPr>
      <w:bookmarkStart w:id="0" w:name="_GoBack"/>
      <w:bookmarkEnd w:id="0"/>
      <w:r w:rsidRPr="00DE3F2F">
        <w:rPr>
          <w:b/>
        </w:rPr>
        <w:t>South Carolina General Assembly</w:t>
      </w:r>
    </w:p>
    <w:p w:rsidR="00DE3F2F" w:rsidRDefault="00DE3F2F" w:rsidP="00DE3F2F">
      <w:pPr>
        <w:widowControl w:val="0"/>
        <w:jc w:val="center"/>
      </w:pPr>
      <w:r>
        <w:t>119th Session, 2011-2012</w:t>
      </w:r>
    </w:p>
    <w:p w:rsidR="00DE3F2F" w:rsidRDefault="00DE3F2F" w:rsidP="00DE3F2F">
      <w:pPr>
        <w:widowControl w:val="0"/>
      </w:pPr>
    </w:p>
    <w:p w:rsidR="00DE3F2F" w:rsidRDefault="00DE3F2F" w:rsidP="00DE3F2F">
      <w:pPr>
        <w:widowControl w:val="0"/>
        <w:rPr>
          <w:b/>
        </w:rPr>
      </w:pPr>
      <w:r w:rsidRPr="00DE3F2F">
        <w:rPr>
          <w:b/>
        </w:rPr>
        <w:t>S.</w:t>
      </w:r>
      <w:r>
        <w:rPr>
          <w:b/>
        </w:rPr>
        <w:t xml:space="preserve"> </w:t>
      </w:r>
      <w:r w:rsidRPr="00DE3F2F">
        <w:rPr>
          <w:b/>
        </w:rPr>
        <w:t>1005</w:t>
      </w:r>
    </w:p>
    <w:p w:rsidR="00DE3F2F" w:rsidRDefault="00DE3F2F" w:rsidP="00DE3F2F">
      <w:pPr>
        <w:widowControl w:val="0"/>
        <w:rPr>
          <w:b/>
        </w:rPr>
      </w:pPr>
    </w:p>
    <w:p w:rsidR="00DE3F2F" w:rsidRDefault="00DE3F2F" w:rsidP="00DE3F2F">
      <w:pPr>
        <w:widowControl w:val="0"/>
      </w:pPr>
      <w:r w:rsidRPr="00DE3F2F">
        <w:rPr>
          <w:b/>
        </w:rPr>
        <w:t>STATUS INFORMATION</w:t>
      </w:r>
    </w:p>
    <w:p w:rsidR="00DE3F2F" w:rsidRDefault="00DE3F2F" w:rsidP="00DE3F2F">
      <w:pPr>
        <w:widowControl w:val="0"/>
      </w:pPr>
    </w:p>
    <w:p w:rsidR="00DE3F2F" w:rsidRDefault="00DE3F2F" w:rsidP="00DE3F2F">
      <w:pPr>
        <w:widowControl w:val="0"/>
      </w:pPr>
      <w:r>
        <w:t>General Bill</w:t>
      </w:r>
    </w:p>
    <w:p w:rsidR="00DE3F2F" w:rsidRDefault="00DE3F2F" w:rsidP="00DE3F2F">
      <w:pPr>
        <w:widowControl w:val="0"/>
      </w:pPr>
      <w:r>
        <w:t>Sponsors: Senator Cromer</w:t>
      </w:r>
    </w:p>
    <w:p w:rsidR="00DE3F2F" w:rsidRDefault="00DE3F2F" w:rsidP="00DE3F2F">
      <w:pPr>
        <w:widowControl w:val="0"/>
      </w:pPr>
      <w:r>
        <w:t>Document Path: l:\s-res\rwc\001bath.kmm.rwc.docx</w:t>
      </w:r>
    </w:p>
    <w:p w:rsidR="00AE0BF2" w:rsidRDefault="00AE0BF2" w:rsidP="00DE3F2F">
      <w:pPr>
        <w:widowControl w:val="0"/>
      </w:pPr>
      <w:r>
        <w:t>Companion/Similar bill(s): 4471, 4515</w:t>
      </w:r>
    </w:p>
    <w:p w:rsidR="00DE3F2F" w:rsidRDefault="00DE3F2F" w:rsidP="00DE3F2F">
      <w:pPr>
        <w:widowControl w:val="0"/>
      </w:pPr>
    </w:p>
    <w:p w:rsidR="004850AC" w:rsidRDefault="004850AC" w:rsidP="00DE3F2F">
      <w:pPr>
        <w:widowControl w:val="0"/>
      </w:pPr>
      <w:r>
        <w:t>Introduced in the Senate on January 10, 2012</w:t>
      </w:r>
    </w:p>
    <w:p w:rsidR="004850AC" w:rsidRPr="004850AC" w:rsidRDefault="004850AC" w:rsidP="00DE3F2F">
      <w:pPr>
        <w:widowControl w:val="0"/>
      </w:pPr>
      <w:r>
        <w:t xml:space="preserve">Currently residing in the Senate Committee on </w:t>
      </w:r>
      <w:r w:rsidRPr="004850AC">
        <w:rPr>
          <w:b/>
        </w:rPr>
        <w:t>Judiciary</w:t>
      </w:r>
    </w:p>
    <w:p w:rsidR="004850AC" w:rsidRDefault="004850AC" w:rsidP="00DE3F2F">
      <w:pPr>
        <w:widowControl w:val="0"/>
      </w:pPr>
    </w:p>
    <w:p w:rsidR="00DE3F2F" w:rsidRDefault="00DE3F2F" w:rsidP="00DE3F2F">
      <w:pPr>
        <w:widowControl w:val="0"/>
      </w:pPr>
      <w:r>
        <w:t xml:space="preserve">Summary: </w:t>
      </w:r>
      <w:r w:rsidR="0096387F">
        <w:t>Bath Salts added to list of schedule 1 controlled substances</w:t>
      </w:r>
    </w:p>
    <w:p w:rsidR="00DE3F2F" w:rsidRDefault="00DE3F2F" w:rsidP="00DE3F2F">
      <w:pPr>
        <w:widowControl w:val="0"/>
      </w:pPr>
    </w:p>
    <w:p w:rsidR="00DE3F2F" w:rsidRDefault="00DE3F2F" w:rsidP="00DE3F2F">
      <w:pPr>
        <w:widowControl w:val="0"/>
      </w:pPr>
    </w:p>
    <w:p w:rsidR="00DE3F2F" w:rsidRDefault="00DE3F2F" w:rsidP="00DE3F2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E3F2F">
        <w:rPr>
          <w:b/>
        </w:rPr>
        <w:t>HISTORY OF LEGISLATIVE ACTIONS</w:t>
      </w:r>
    </w:p>
    <w:p w:rsidR="00DE3F2F" w:rsidRDefault="00DE3F2F" w:rsidP="00DE3F2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E3F2F" w:rsidRPr="00DE3F2F" w:rsidRDefault="00DE3F2F" w:rsidP="00DE3F2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E3F2F">
        <w:rPr>
          <w:u w:val="single"/>
        </w:rPr>
        <w:tab/>
        <w:t>Date</w:t>
      </w:r>
      <w:r w:rsidRPr="00DE3F2F">
        <w:rPr>
          <w:u w:val="single"/>
        </w:rPr>
        <w:tab/>
        <w:t>Body</w:t>
      </w:r>
      <w:r w:rsidRPr="00DE3F2F">
        <w:rPr>
          <w:u w:val="single"/>
        </w:rPr>
        <w:tab/>
        <w:t>Action Description with journal page number</w:t>
      </w:r>
      <w:r w:rsidRPr="00DE3F2F">
        <w:rPr>
          <w:u w:val="single"/>
        </w:rPr>
        <w:tab/>
      </w:r>
    </w:p>
    <w:p w:rsidR="003F1C48" w:rsidRDefault="003F1C48" w:rsidP="003F1C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11/28/2011</w:t>
      </w:r>
      <w:r>
        <w:tab/>
        <w:t>Senate</w:t>
      </w:r>
      <w:r>
        <w:tab/>
      </w:r>
      <w:r w:rsidRPr="00F8596A">
        <w:t>Prefiled</w:t>
      </w:r>
    </w:p>
    <w:p w:rsidR="003F1C48" w:rsidRDefault="003F1C48" w:rsidP="003F1C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11/28/2011</w:t>
      </w:r>
      <w:r>
        <w:tab/>
        <w:t>Senate</w:t>
      </w:r>
      <w:r>
        <w:tab/>
      </w:r>
      <w:r w:rsidRPr="00F8596A">
        <w:t xml:space="preserve">Referred to Committee on </w:t>
      </w:r>
      <w:r w:rsidRPr="00F8596A">
        <w:rPr>
          <w:b/>
        </w:rPr>
        <w:t>Judiciary</w:t>
      </w:r>
    </w:p>
    <w:p w:rsidR="003F1C48" w:rsidRDefault="003F1C48" w:rsidP="003F1C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1/10/2012</w:t>
      </w:r>
      <w:r>
        <w:tab/>
        <w:t>Senate</w:t>
      </w:r>
      <w:r>
        <w:tab/>
      </w:r>
      <w:r w:rsidRPr="00F8596A">
        <w:t>Introduced and read first time (</w:t>
      </w:r>
      <w:hyperlink r:id="rId6" w:history="1">
        <w:r w:rsidRPr="00F8596A">
          <w:rPr>
            <w:rStyle w:val="Hyperlink"/>
          </w:rPr>
          <w:t>Senate Journal</w:t>
        </w:r>
        <w:r w:rsidRPr="00F8596A">
          <w:rPr>
            <w:rStyle w:val="Hyperlink"/>
          </w:rPr>
          <w:noBreakHyphen/>
          <w:t>page 10</w:t>
        </w:r>
      </w:hyperlink>
      <w:r w:rsidRPr="00F8596A">
        <w:t>)</w:t>
      </w:r>
    </w:p>
    <w:p w:rsidR="003F1C48" w:rsidRDefault="003F1C48" w:rsidP="003F1C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1/10/2012</w:t>
      </w:r>
      <w:r>
        <w:tab/>
        <w:t>Senate</w:t>
      </w:r>
      <w:r>
        <w:tab/>
      </w:r>
      <w:r w:rsidRPr="00F8596A">
        <w:t>Ref</w:t>
      </w:r>
      <w:r>
        <w:t xml:space="preserve">erred to Committee on </w:t>
      </w:r>
      <w:r w:rsidRPr="00F8596A">
        <w:rPr>
          <w:b/>
        </w:rPr>
        <w:t>Judiciary</w:t>
      </w:r>
      <w:r>
        <w:t xml:space="preserve"> </w:t>
      </w:r>
      <w:r w:rsidRPr="00F8596A">
        <w:t>(</w:t>
      </w:r>
      <w:hyperlink r:id="rId7" w:history="1">
        <w:r w:rsidRPr="00F8596A">
          <w:rPr>
            <w:rStyle w:val="Hyperlink"/>
          </w:rPr>
          <w:t>Senate Journal</w:t>
        </w:r>
        <w:r w:rsidRPr="00F8596A">
          <w:rPr>
            <w:rStyle w:val="Hyperlink"/>
          </w:rPr>
          <w:noBreakHyphen/>
          <w:t>page 10</w:t>
        </w:r>
      </w:hyperlink>
      <w:r w:rsidRPr="00F8596A">
        <w:t>)</w:t>
      </w:r>
    </w:p>
    <w:p w:rsidR="003F1C48" w:rsidRDefault="003F1C48" w:rsidP="003F1C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1/9/2012</w:t>
      </w:r>
      <w:r>
        <w:tab/>
        <w:t>Senate</w:t>
      </w:r>
      <w:r>
        <w:tab/>
      </w:r>
      <w:r w:rsidRPr="00F8596A">
        <w:t>Referred to S</w:t>
      </w:r>
      <w:r>
        <w:t xml:space="preserve">ubcommittee: Malloy (ch), Ford, </w:t>
      </w:r>
      <w:r w:rsidRPr="00F8596A">
        <w:t>Knotts, Campsen</w:t>
      </w:r>
    </w:p>
    <w:p w:rsidR="003F1C48" w:rsidRDefault="003F1C48" w:rsidP="003F1C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E3F2F" w:rsidRPr="00DE3F2F" w:rsidRDefault="00DE3F2F" w:rsidP="00DE3F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E3F2F" w:rsidRDefault="00DE3F2F" w:rsidP="00DE3F2F">
      <w:pPr>
        <w:widowControl w:val="0"/>
      </w:pPr>
      <w:r w:rsidRPr="00DE3F2F">
        <w:rPr>
          <w:b/>
        </w:rPr>
        <w:lastRenderedPageBreak/>
        <w:t>VERSIONS OF THIS BILL</w:t>
      </w:r>
    </w:p>
    <w:p w:rsidR="00DE3F2F" w:rsidRDefault="00DE3F2F" w:rsidP="00DE3F2F">
      <w:pPr>
        <w:widowControl w:val="0"/>
      </w:pPr>
    </w:p>
    <w:p w:rsidR="00DE3F2F" w:rsidRDefault="00293FB8" w:rsidP="00DE3F2F">
      <w:pPr>
        <w:widowControl w:val="0"/>
      </w:pPr>
      <w:hyperlink r:id="rId8" w:history="1">
        <w:r w:rsidR="00DE3F2F">
          <w:rPr>
            <w:rStyle w:val="Hyperlink"/>
          </w:rPr>
          <w:t>11/28/2011</w:t>
        </w:r>
      </w:hyperlink>
    </w:p>
    <w:p w:rsidR="00DE3F2F" w:rsidRDefault="00DE3F2F" w:rsidP="00DE3F2F"/>
    <w:p w:rsidR="00DE3F2F" w:rsidRDefault="00DE3F2F" w:rsidP="00DE3F2F">
      <w:pPr>
        <w:sectPr w:rsidR="00DE3F2F" w:rsidSect="00DE3F2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57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038B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218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44</w:t>
      </w:r>
      <w:r w:rsidR="00ED0A3B">
        <w:rPr>
          <w:rFonts w:eastAsia="Times New Roman"/>
        </w:rPr>
        <w:noBreakHyphen/>
      </w:r>
      <w:r>
        <w:rPr>
          <w:rFonts w:eastAsia="Times New Roman"/>
        </w:rPr>
        <w:t>53</w:t>
      </w:r>
      <w:r w:rsidR="00ED0A3B">
        <w:rPr>
          <w:rFonts w:eastAsia="Times New Roman"/>
        </w:rPr>
        <w:noBreakHyphen/>
      </w:r>
      <w:r>
        <w:rPr>
          <w:rFonts w:eastAsia="Times New Roman"/>
        </w:rPr>
        <w:t>190</w:t>
      </w:r>
      <w:r w:rsidR="00276042">
        <w:rPr>
          <w:rFonts w:eastAsia="Times New Roman"/>
        </w:rPr>
        <w:t xml:space="preserve"> </w:t>
      </w:r>
      <w:r>
        <w:rPr>
          <w:rFonts w:eastAsia="Times New Roman"/>
        </w:rPr>
        <w:t>OF THE 1976 CODE, RELATING TO SCHEDULE 1 CONTROLLED SUBSTANCES, TO ADD SYNTHETIC CATHINONES, COMMONLY REFERRED TO AS “BATH SALTS” TO THE LIST OF SCHEDULE 1 CONTROLLED SUBSTANCES.</w:t>
      </w:r>
    </w:p>
    <w:p w:rsidR="00B038B9" w:rsidRDefault="00B038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76042" w:rsidRPr="003448B2" w:rsidRDefault="00276042" w:rsidP="0027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448B2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276042" w:rsidRPr="003448B2" w:rsidRDefault="00276042" w:rsidP="0027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76042" w:rsidRPr="003448B2" w:rsidRDefault="00276042" w:rsidP="0027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448B2">
        <w:rPr>
          <w:color w:val="000000" w:themeColor="text1"/>
          <w:u w:color="000000" w:themeColor="text1"/>
        </w:rPr>
        <w:t>SECTION</w:t>
      </w:r>
      <w:r w:rsidRPr="003448B2">
        <w:rPr>
          <w:color w:val="000000" w:themeColor="text1"/>
          <w:u w:color="000000" w:themeColor="text1"/>
        </w:rPr>
        <w:tab/>
        <w:t>1.</w:t>
      </w:r>
      <w:r w:rsidRPr="003448B2">
        <w:rPr>
          <w:color w:val="000000" w:themeColor="text1"/>
          <w:u w:color="000000" w:themeColor="text1"/>
        </w:rPr>
        <w:tab/>
        <w:t>Section 44</w:t>
      </w:r>
      <w:r w:rsidR="00ED0A3B">
        <w:rPr>
          <w:color w:val="000000" w:themeColor="text1"/>
          <w:u w:color="000000" w:themeColor="text1"/>
        </w:rPr>
        <w:noBreakHyphen/>
      </w:r>
      <w:r w:rsidRPr="003448B2">
        <w:rPr>
          <w:color w:val="000000" w:themeColor="text1"/>
          <w:u w:color="000000" w:themeColor="text1"/>
        </w:rPr>
        <w:t>53</w:t>
      </w:r>
      <w:r w:rsidR="00ED0A3B">
        <w:rPr>
          <w:color w:val="000000" w:themeColor="text1"/>
          <w:u w:color="000000" w:themeColor="text1"/>
        </w:rPr>
        <w:noBreakHyphen/>
      </w:r>
      <w:r w:rsidRPr="003448B2">
        <w:rPr>
          <w:color w:val="000000" w:themeColor="text1"/>
          <w:u w:color="000000" w:themeColor="text1"/>
        </w:rPr>
        <w:t xml:space="preserve">190(d) of the 1976 Code is amended by adding an appropriately numbered </w:t>
      </w:r>
      <w:r w:rsidR="00891860">
        <w:rPr>
          <w:color w:val="000000" w:themeColor="text1"/>
          <w:u w:color="000000" w:themeColor="text1"/>
        </w:rPr>
        <w:t>sub</w:t>
      </w:r>
      <w:r w:rsidRPr="003448B2">
        <w:rPr>
          <w:color w:val="000000" w:themeColor="text1"/>
          <w:u w:color="000000" w:themeColor="text1"/>
        </w:rPr>
        <w:t>item to read:</w:t>
      </w:r>
    </w:p>
    <w:p w:rsidR="00276042" w:rsidRPr="003448B2" w:rsidRDefault="00276042" w:rsidP="0027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76042" w:rsidRPr="003448B2" w:rsidRDefault="00276042" w:rsidP="0027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448B2">
        <w:rPr>
          <w:color w:val="000000" w:themeColor="text1"/>
          <w:u w:color="000000" w:themeColor="text1"/>
        </w:rPr>
        <w:tab/>
        <w:t>“(   )</w:t>
      </w:r>
      <w:r w:rsidRPr="003448B2">
        <w:rPr>
          <w:color w:val="000000" w:themeColor="text1"/>
          <w:u w:color="000000" w:themeColor="text1"/>
        </w:rPr>
        <w:tab/>
        <w:t>Synthetic cathinones, including, but not limited to, 3,4</w:t>
      </w:r>
      <w:r w:rsidR="00ED0A3B">
        <w:rPr>
          <w:color w:val="000000" w:themeColor="text1"/>
          <w:u w:color="000000" w:themeColor="text1"/>
        </w:rPr>
        <w:noBreakHyphen/>
      </w:r>
      <w:r w:rsidRPr="003448B2">
        <w:rPr>
          <w:color w:val="000000" w:themeColor="text1"/>
          <w:u w:color="000000" w:themeColor="text1"/>
        </w:rPr>
        <w:t>methylenedioxypyrovalerone (MDPV); 4</w:t>
      </w:r>
      <w:r w:rsidR="00ED0A3B">
        <w:rPr>
          <w:color w:val="000000" w:themeColor="text1"/>
          <w:u w:color="000000" w:themeColor="text1"/>
        </w:rPr>
        <w:noBreakHyphen/>
      </w:r>
      <w:r w:rsidRPr="003448B2">
        <w:rPr>
          <w:color w:val="000000" w:themeColor="text1"/>
          <w:u w:color="000000" w:themeColor="text1"/>
        </w:rPr>
        <w:t>methylmethcathinone, 4</w:t>
      </w:r>
      <w:r w:rsidR="00ED0A3B">
        <w:rPr>
          <w:color w:val="000000" w:themeColor="text1"/>
          <w:u w:color="000000" w:themeColor="text1"/>
        </w:rPr>
        <w:noBreakHyphen/>
      </w:r>
      <w:r w:rsidRPr="003448B2">
        <w:rPr>
          <w:color w:val="000000" w:themeColor="text1"/>
          <w:u w:color="000000" w:themeColor="text1"/>
        </w:rPr>
        <w:t>MMC (Mephedrone); 3,4</w:t>
      </w:r>
      <w:r w:rsidR="00ED0A3B">
        <w:rPr>
          <w:color w:val="000000" w:themeColor="text1"/>
          <w:u w:color="000000" w:themeColor="text1"/>
        </w:rPr>
        <w:noBreakHyphen/>
      </w:r>
      <w:r w:rsidRPr="003448B2">
        <w:rPr>
          <w:color w:val="000000" w:themeColor="text1"/>
          <w:u w:color="000000" w:themeColor="text1"/>
        </w:rPr>
        <w:t>methylendioxymethcathinone, MDMC (Methylone); napthylpyrovalerone, NGR</w:t>
      </w:r>
      <w:r w:rsidR="00ED0A3B">
        <w:rPr>
          <w:color w:val="000000" w:themeColor="text1"/>
          <w:u w:color="000000" w:themeColor="text1"/>
        </w:rPr>
        <w:noBreakHyphen/>
      </w:r>
      <w:r w:rsidRPr="003448B2">
        <w:rPr>
          <w:color w:val="000000" w:themeColor="text1"/>
          <w:u w:color="000000" w:themeColor="text1"/>
        </w:rPr>
        <w:t>1 (Naphyrone); 4</w:t>
      </w:r>
      <w:r w:rsidR="00ED0A3B">
        <w:rPr>
          <w:color w:val="000000" w:themeColor="text1"/>
          <w:u w:color="000000" w:themeColor="text1"/>
        </w:rPr>
        <w:noBreakHyphen/>
      </w:r>
      <w:r w:rsidRPr="003448B2">
        <w:rPr>
          <w:color w:val="000000" w:themeColor="text1"/>
          <w:u w:color="000000" w:themeColor="text1"/>
        </w:rPr>
        <w:t>FMC, flephedrone (4</w:t>
      </w:r>
      <w:r w:rsidR="00ED0A3B">
        <w:rPr>
          <w:color w:val="000000" w:themeColor="text1"/>
          <w:u w:color="000000" w:themeColor="text1"/>
        </w:rPr>
        <w:noBreakHyphen/>
      </w:r>
      <w:r w:rsidRPr="003448B2">
        <w:rPr>
          <w:color w:val="000000" w:themeColor="text1"/>
          <w:u w:color="000000" w:themeColor="text1"/>
        </w:rPr>
        <w:t>Fluromethcathinone); 3</w:t>
      </w:r>
      <w:r w:rsidR="00ED0A3B">
        <w:rPr>
          <w:color w:val="000000" w:themeColor="text1"/>
          <w:u w:color="000000" w:themeColor="text1"/>
        </w:rPr>
        <w:noBreakHyphen/>
      </w:r>
      <w:r w:rsidRPr="003448B2">
        <w:rPr>
          <w:color w:val="000000" w:themeColor="text1"/>
          <w:u w:color="000000" w:themeColor="text1"/>
        </w:rPr>
        <w:t>FMC (3</w:t>
      </w:r>
      <w:r w:rsidR="00ED0A3B">
        <w:rPr>
          <w:color w:val="000000" w:themeColor="text1"/>
          <w:u w:color="000000" w:themeColor="text1"/>
        </w:rPr>
        <w:noBreakHyphen/>
      </w:r>
      <w:r w:rsidRPr="003448B2">
        <w:rPr>
          <w:color w:val="000000" w:themeColor="text1"/>
          <w:u w:color="000000" w:themeColor="text1"/>
        </w:rPr>
        <w:t>Fluromethcathinone); 4</w:t>
      </w:r>
      <w:r w:rsidR="00ED0A3B">
        <w:rPr>
          <w:color w:val="000000" w:themeColor="text1"/>
          <w:u w:color="000000" w:themeColor="text1"/>
        </w:rPr>
        <w:noBreakHyphen/>
      </w:r>
      <w:r w:rsidRPr="003448B2">
        <w:rPr>
          <w:color w:val="000000" w:themeColor="text1"/>
          <w:u w:color="000000" w:themeColor="text1"/>
        </w:rPr>
        <w:t>methoxymethcathinone, bk</w:t>
      </w:r>
      <w:r w:rsidR="00ED0A3B">
        <w:rPr>
          <w:color w:val="000000" w:themeColor="text1"/>
          <w:u w:color="000000" w:themeColor="text1"/>
        </w:rPr>
        <w:noBreakHyphen/>
      </w:r>
      <w:r w:rsidRPr="003448B2">
        <w:rPr>
          <w:color w:val="000000" w:themeColor="text1"/>
          <w:u w:color="000000" w:themeColor="text1"/>
        </w:rPr>
        <w:t>PMMA, PMMC (Methedrone); and bk</w:t>
      </w:r>
      <w:r w:rsidR="00ED0A3B">
        <w:rPr>
          <w:color w:val="000000" w:themeColor="text1"/>
          <w:u w:color="000000" w:themeColor="text1"/>
        </w:rPr>
        <w:noBreakHyphen/>
      </w:r>
      <w:r w:rsidRPr="003448B2">
        <w:rPr>
          <w:color w:val="000000" w:themeColor="text1"/>
          <w:u w:color="000000" w:themeColor="text1"/>
        </w:rPr>
        <w:t>MBDB, beta</w:t>
      </w:r>
      <w:r w:rsidR="00ED0A3B">
        <w:rPr>
          <w:color w:val="000000" w:themeColor="text1"/>
          <w:u w:color="000000" w:themeColor="text1"/>
        </w:rPr>
        <w:noBreakHyphen/>
      </w:r>
      <w:r w:rsidRPr="003448B2">
        <w:rPr>
          <w:color w:val="000000" w:themeColor="text1"/>
          <w:u w:color="000000" w:themeColor="text1"/>
        </w:rPr>
        <w:t>keto</w:t>
      </w:r>
      <w:r w:rsidR="00ED0A3B">
        <w:rPr>
          <w:color w:val="000000" w:themeColor="text1"/>
          <w:u w:color="000000" w:themeColor="text1"/>
        </w:rPr>
        <w:noBreakHyphen/>
      </w:r>
      <w:r w:rsidRPr="003448B2">
        <w:rPr>
          <w:color w:val="000000" w:themeColor="text1"/>
          <w:u w:color="000000" w:themeColor="text1"/>
        </w:rPr>
        <w:t>N</w:t>
      </w:r>
      <w:r w:rsidR="00ED0A3B">
        <w:rPr>
          <w:color w:val="000000" w:themeColor="text1"/>
          <w:u w:color="000000" w:themeColor="text1"/>
        </w:rPr>
        <w:noBreakHyphen/>
      </w:r>
      <w:r w:rsidRPr="003448B2">
        <w:rPr>
          <w:color w:val="000000" w:themeColor="text1"/>
          <w:u w:color="000000" w:themeColor="text1"/>
        </w:rPr>
        <w:t>methylbenzodioxolylpropylamine.”</w:t>
      </w:r>
    </w:p>
    <w:p w:rsidR="00276042" w:rsidRPr="003448B2" w:rsidRDefault="00276042" w:rsidP="0027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76042" w:rsidRPr="003448B2" w:rsidRDefault="00276042" w:rsidP="0027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448B2">
        <w:rPr>
          <w:color w:val="000000" w:themeColor="text1"/>
          <w:u w:color="000000" w:themeColor="text1"/>
        </w:rPr>
        <w:t>SECTION</w:t>
      </w:r>
      <w:r w:rsidRPr="003448B2">
        <w:rPr>
          <w:color w:val="000000" w:themeColor="text1"/>
          <w:u w:color="000000" w:themeColor="text1"/>
        </w:rPr>
        <w:tab/>
        <w:t>2.</w:t>
      </w:r>
      <w:r w:rsidRPr="003448B2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B57FB6" w:rsidRDefault="00ED0A3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57FB6" w:rsidRDefault="00B57FB6" w:rsidP="00DE3F2F">
      <w:pPr>
        <w:suppressAutoHyphens/>
        <w:jc w:val="both"/>
        <w:rPr>
          <w:rFonts w:eastAsia="Times New Roman"/>
        </w:rPr>
      </w:pPr>
    </w:p>
    <w:sectPr w:rsidR="00B57FB6" w:rsidSect="00DE3F2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38B9" w:rsidRDefault="00B038B9" w:rsidP="00522CE0">
      <w:r>
        <w:separator/>
      </w:r>
    </w:p>
  </w:endnote>
  <w:endnote w:type="continuationSeparator" w:id="0">
    <w:p w:rsidR="00B038B9" w:rsidRDefault="00B038B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3685DF-6FB9-4ACE-832F-D31B0579F7B9}"/>
    <w:embedBold r:id="rId2" w:fontKey="{674293BE-6E46-4C64-80B7-44BBA986D63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24F26A0-BCFC-4A84-B729-7B6AB7B47A2B}"/>
    <w:embedBold r:id="rId4" w:fontKey="{F6E4C1BE-7CAC-436E-A579-0E654698AE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6ED88A-28D4-4CD4-BB15-6C1E917A31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3F2F" w:rsidRPr="00B57FB6" w:rsidRDefault="00DE3F2F" w:rsidP="00B57F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[1005]</w:t>
    </w:r>
    <w:r>
      <w:tab/>
    </w:r>
    <w:r w:rsidR="00293FB8">
      <w:fldChar w:fldCharType="begin"/>
    </w:r>
    <w:r w:rsidR="00293FB8">
      <w:instrText xml:space="preserve"> PAGE  \* MERGEFORMAT </w:instrText>
    </w:r>
    <w:r w:rsidR="00293FB8">
      <w:fldChar w:fldCharType="separate"/>
    </w:r>
    <w:r w:rsidR="00293FB8">
      <w:rPr>
        <w:noProof/>
      </w:rPr>
      <w:t>1</w:t>
    </w:r>
    <w:r w:rsidR="00293FB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38B9" w:rsidRDefault="00B038B9" w:rsidP="00522CE0">
      <w:r>
        <w:separator/>
      </w:r>
    </w:p>
  </w:footnote>
  <w:footnote w:type="continuationSeparator" w:id="0">
    <w:p w:rsidR="00B038B9" w:rsidRDefault="00B038B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1BATH.KMM.RWC"/>
    <w:docVar w:name="CoverAttorneyInitials" w:val="KMM"/>
    <w:docVar w:name="CoverAttorneyLastName" w:val="Moffitt"/>
    <w:docVar w:name="CoverBillType" w:val="b"/>
    <w:docVar w:name="CoverSenator" w:val="RWC"/>
    <w:docVar w:name="dvBillNumber" w:val="1005"/>
    <w:docVar w:name="dvBillNumberPrefix" w:val="S. "/>
    <w:docVar w:name="dvOriginalBody" w:val="Senate"/>
    <w:docVar w:name="fulldraftpath" w:val="L:\S-RES\RWC\001BATH.KMM.RWC.DOCX"/>
    <w:docVar w:name="NameofBody" w:val="S"/>
    <w:docVar w:name="vgroup2" w:val="S-RES"/>
  </w:docVars>
  <w:rsids>
    <w:rsidRoot w:val="00ED2089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23E03"/>
    <w:rsid w:val="00245C4E"/>
    <w:rsid w:val="00276042"/>
    <w:rsid w:val="00293FB8"/>
    <w:rsid w:val="002C1321"/>
    <w:rsid w:val="002C5896"/>
    <w:rsid w:val="002D3BED"/>
    <w:rsid w:val="00307C2B"/>
    <w:rsid w:val="003759C3"/>
    <w:rsid w:val="00383247"/>
    <w:rsid w:val="003A1CE4"/>
    <w:rsid w:val="003D6E2B"/>
    <w:rsid w:val="003E7597"/>
    <w:rsid w:val="003F1C48"/>
    <w:rsid w:val="00450668"/>
    <w:rsid w:val="004850AC"/>
    <w:rsid w:val="004952FA"/>
    <w:rsid w:val="004B6A22"/>
    <w:rsid w:val="004D7F37"/>
    <w:rsid w:val="00522CE0"/>
    <w:rsid w:val="00565148"/>
    <w:rsid w:val="00593361"/>
    <w:rsid w:val="005A0F0B"/>
    <w:rsid w:val="005A413B"/>
    <w:rsid w:val="005A5017"/>
    <w:rsid w:val="005A648C"/>
    <w:rsid w:val="005B059C"/>
    <w:rsid w:val="005D4014"/>
    <w:rsid w:val="005F1745"/>
    <w:rsid w:val="006C74EA"/>
    <w:rsid w:val="00720D40"/>
    <w:rsid w:val="007318D4"/>
    <w:rsid w:val="00765784"/>
    <w:rsid w:val="00772803"/>
    <w:rsid w:val="007A2DB3"/>
    <w:rsid w:val="007A4390"/>
    <w:rsid w:val="007A56C1"/>
    <w:rsid w:val="007E5CB7"/>
    <w:rsid w:val="008314D2"/>
    <w:rsid w:val="00891860"/>
    <w:rsid w:val="008B2F42"/>
    <w:rsid w:val="008C3697"/>
    <w:rsid w:val="008E185F"/>
    <w:rsid w:val="008F023B"/>
    <w:rsid w:val="00904E16"/>
    <w:rsid w:val="00914493"/>
    <w:rsid w:val="009162B3"/>
    <w:rsid w:val="00927C62"/>
    <w:rsid w:val="0096387F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0BF2"/>
    <w:rsid w:val="00AE3868"/>
    <w:rsid w:val="00AE59C8"/>
    <w:rsid w:val="00AE71BC"/>
    <w:rsid w:val="00B038B9"/>
    <w:rsid w:val="00B10098"/>
    <w:rsid w:val="00B26377"/>
    <w:rsid w:val="00B5790D"/>
    <w:rsid w:val="00B57FB6"/>
    <w:rsid w:val="00B725EB"/>
    <w:rsid w:val="00B945C5"/>
    <w:rsid w:val="00BA20EA"/>
    <w:rsid w:val="00BB5AFC"/>
    <w:rsid w:val="00BC0A56"/>
    <w:rsid w:val="00BF483A"/>
    <w:rsid w:val="00C45366"/>
    <w:rsid w:val="00C57023"/>
    <w:rsid w:val="00C74052"/>
    <w:rsid w:val="00C74CE8"/>
    <w:rsid w:val="00C76DB0"/>
    <w:rsid w:val="00CB187A"/>
    <w:rsid w:val="00CC0EC7"/>
    <w:rsid w:val="00CE18F8"/>
    <w:rsid w:val="00D071AD"/>
    <w:rsid w:val="00D1088B"/>
    <w:rsid w:val="00D14DE6"/>
    <w:rsid w:val="00D156D2"/>
    <w:rsid w:val="00D86943"/>
    <w:rsid w:val="00DA47B9"/>
    <w:rsid w:val="00DC47B5"/>
    <w:rsid w:val="00DE3F2F"/>
    <w:rsid w:val="00E058D3"/>
    <w:rsid w:val="00E76AD9"/>
    <w:rsid w:val="00E91E2F"/>
    <w:rsid w:val="00EA3546"/>
    <w:rsid w:val="00EB47AE"/>
    <w:rsid w:val="00EC2B12"/>
    <w:rsid w:val="00EC34E1"/>
    <w:rsid w:val="00ED0A3B"/>
    <w:rsid w:val="00ED2089"/>
    <w:rsid w:val="00ED4C42"/>
    <w:rsid w:val="00F0234A"/>
    <w:rsid w:val="00F218C3"/>
    <w:rsid w:val="00F3314B"/>
    <w:rsid w:val="00F36E55"/>
    <w:rsid w:val="00F52959"/>
    <w:rsid w:val="00F54650"/>
    <w:rsid w:val="00F55884"/>
    <w:rsid w:val="00FC0D36"/>
    <w:rsid w:val="00FE6467"/>
    <w:rsid w:val="00FF4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oNotEmbedSmartTags/>
  <w:decimalSymbol w:val="."/>
  <w:listSeparator w:val=","/>
  <w15:docId w15:val="{EBAC3D3A-E0EB-43ED-9EF5-4BA804796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E3F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005_2011112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2\01-10-12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2\01-10-1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217</Words>
  <Characters>1473</Characters>
  <Application>Microsoft Office Word</Application>
  <DocSecurity>4</DocSecurity>
  <Lines>66</Lines>
  <Paragraphs>27</Paragraphs>
  <ScaleCrop>false</ScaleCrop>
  <Company> </Company>
  <LinksUpToDate>false</LinksUpToDate>
  <CharactersWithSpaces>1671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1005: Bath Salts added to list of schedule 1 controlled substances - South Carolina Legislature Online</dc:title>
  <dc:subject/>
  <dc:creator>KenMoffitt</dc:creator>
  <cp:keywords/>
  <dc:description/>
  <cp:lastModifiedBy>N Cumfer</cp:lastModifiedBy>
  <cp:revision>2</cp:revision>
  <dcterms:created xsi:type="dcterms:W3CDTF">2014-11-21T21:05:00Z</dcterms:created>
  <dcterms:modified xsi:type="dcterms:W3CDTF">2014-11-21T21:05:00Z</dcterms:modified>
</cp:coreProperties>
</file>