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406" w:rsidRDefault="00EE0406" w:rsidP="00EE0406">
      <w:pPr>
        <w:widowControl w:val="0"/>
        <w:jc w:val="center"/>
      </w:pPr>
      <w:bookmarkStart w:id="0" w:name="_GoBack"/>
      <w:bookmarkEnd w:id="0"/>
      <w:r w:rsidRPr="00EE0406">
        <w:rPr>
          <w:b/>
        </w:rPr>
        <w:t>South Carolina General Assembly</w:t>
      </w:r>
    </w:p>
    <w:p w:rsidR="00EE0406" w:rsidRDefault="00EE0406" w:rsidP="00EE0406">
      <w:pPr>
        <w:widowControl w:val="0"/>
        <w:jc w:val="center"/>
      </w:pPr>
      <w:r>
        <w:t>119th Session, 2011-2012</w:t>
      </w:r>
    </w:p>
    <w:p w:rsidR="00EE0406" w:rsidRDefault="00EE0406" w:rsidP="00EE0406">
      <w:pPr>
        <w:widowControl w:val="0"/>
      </w:pPr>
    </w:p>
    <w:p w:rsidR="00EE0406" w:rsidRDefault="00EE0406" w:rsidP="00EE0406">
      <w:pPr>
        <w:widowControl w:val="0"/>
        <w:rPr>
          <w:b/>
        </w:rPr>
      </w:pPr>
      <w:r w:rsidRPr="00EE0406">
        <w:rPr>
          <w:b/>
        </w:rPr>
        <w:t>S.</w:t>
      </w:r>
      <w:r>
        <w:rPr>
          <w:b/>
        </w:rPr>
        <w:t xml:space="preserve"> </w:t>
      </w:r>
      <w:r w:rsidRPr="00EE0406">
        <w:rPr>
          <w:b/>
        </w:rPr>
        <w:t>103</w:t>
      </w:r>
    </w:p>
    <w:p w:rsidR="00EE0406" w:rsidRDefault="00EE0406" w:rsidP="00EE0406">
      <w:pPr>
        <w:widowControl w:val="0"/>
        <w:rPr>
          <w:b/>
        </w:rPr>
      </w:pPr>
    </w:p>
    <w:p w:rsidR="00EE0406" w:rsidRDefault="00EE0406" w:rsidP="00EE0406">
      <w:pPr>
        <w:widowControl w:val="0"/>
      </w:pPr>
      <w:r w:rsidRPr="00EE0406">
        <w:rPr>
          <w:b/>
        </w:rPr>
        <w:t>STATUS INFORMATION</w:t>
      </w:r>
    </w:p>
    <w:p w:rsidR="00EE0406" w:rsidRDefault="00EE0406" w:rsidP="00EE0406">
      <w:pPr>
        <w:widowControl w:val="0"/>
      </w:pPr>
    </w:p>
    <w:p w:rsidR="00EE0406" w:rsidRDefault="00EE0406" w:rsidP="00EE0406">
      <w:pPr>
        <w:widowControl w:val="0"/>
      </w:pPr>
      <w:r>
        <w:t>General Bill</w:t>
      </w:r>
    </w:p>
    <w:p w:rsidR="00EE0406" w:rsidRDefault="00B53385" w:rsidP="00EE0406">
      <w:pPr>
        <w:widowControl w:val="0"/>
      </w:pPr>
      <w:r>
        <w:t>Sponsors: Senators Grooms, Verdin and Rankin</w:t>
      </w:r>
    </w:p>
    <w:p w:rsidR="00EE0406" w:rsidRDefault="00EE0406" w:rsidP="00EE0406">
      <w:pPr>
        <w:widowControl w:val="0"/>
      </w:pPr>
      <w:r>
        <w:t>Document Path: l:\s-res\lkg\010tiff.kmm.lkg.docx</w:t>
      </w:r>
    </w:p>
    <w:p w:rsidR="00EE0406" w:rsidRDefault="00EE0406" w:rsidP="00EE0406">
      <w:pPr>
        <w:widowControl w:val="0"/>
      </w:pPr>
    </w:p>
    <w:p w:rsidR="00215641" w:rsidRDefault="00215641" w:rsidP="00EE0406">
      <w:pPr>
        <w:widowControl w:val="0"/>
      </w:pPr>
      <w:r>
        <w:t>Introduced in the Senate on January 11, 2011</w:t>
      </w:r>
    </w:p>
    <w:p w:rsidR="00215641" w:rsidRPr="00215641" w:rsidRDefault="00215641" w:rsidP="00EE0406">
      <w:pPr>
        <w:widowControl w:val="0"/>
      </w:pPr>
      <w:r>
        <w:t xml:space="preserve">Currently residing in the Senate Committee on </w:t>
      </w:r>
      <w:r w:rsidRPr="00215641">
        <w:rPr>
          <w:b/>
        </w:rPr>
        <w:t>Transportation</w:t>
      </w:r>
    </w:p>
    <w:p w:rsidR="00215641" w:rsidRDefault="00215641" w:rsidP="00EE0406">
      <w:pPr>
        <w:widowControl w:val="0"/>
      </w:pPr>
    </w:p>
    <w:p w:rsidR="00EE0406" w:rsidRDefault="00EE0406" w:rsidP="00EE0406">
      <w:pPr>
        <w:widowControl w:val="0"/>
      </w:pPr>
      <w:r>
        <w:t xml:space="preserve">Summary: </w:t>
      </w:r>
      <w:r w:rsidR="00CE1EAD">
        <w:t>Department of Transportation</w:t>
      </w:r>
    </w:p>
    <w:p w:rsidR="00EE0406" w:rsidRDefault="00EE0406" w:rsidP="00EE0406">
      <w:pPr>
        <w:widowControl w:val="0"/>
      </w:pPr>
    </w:p>
    <w:p w:rsidR="00EE0406" w:rsidRDefault="00EE0406" w:rsidP="00EE0406">
      <w:pPr>
        <w:widowControl w:val="0"/>
      </w:pPr>
    </w:p>
    <w:p w:rsidR="00EE0406" w:rsidRDefault="00EE0406" w:rsidP="00EE0406">
      <w:pPr>
        <w:widowControl w:val="0"/>
        <w:tabs>
          <w:tab w:val="center" w:pos="590"/>
          <w:tab w:val="center" w:pos="1440"/>
          <w:tab w:val="left" w:pos="1872"/>
          <w:tab w:val="left" w:pos="9187"/>
        </w:tabs>
      </w:pPr>
      <w:r w:rsidRPr="00EE0406">
        <w:rPr>
          <w:b/>
        </w:rPr>
        <w:t>HISTORY OF LEGISLATIVE ACTIONS</w:t>
      </w:r>
    </w:p>
    <w:p w:rsidR="00EE0406" w:rsidRDefault="00EE0406" w:rsidP="00EE0406">
      <w:pPr>
        <w:widowControl w:val="0"/>
        <w:tabs>
          <w:tab w:val="center" w:pos="590"/>
          <w:tab w:val="center" w:pos="1440"/>
          <w:tab w:val="left" w:pos="1872"/>
          <w:tab w:val="left" w:pos="9187"/>
        </w:tabs>
      </w:pPr>
    </w:p>
    <w:p w:rsidR="00EE0406" w:rsidRPr="00EE0406" w:rsidRDefault="00EE0406" w:rsidP="00EE0406">
      <w:pPr>
        <w:widowControl w:val="0"/>
        <w:tabs>
          <w:tab w:val="center" w:pos="590"/>
          <w:tab w:val="center" w:pos="1440"/>
          <w:tab w:val="left" w:pos="1872"/>
          <w:tab w:val="left" w:pos="9187"/>
        </w:tabs>
      </w:pPr>
      <w:r w:rsidRPr="00EE0406">
        <w:rPr>
          <w:u w:val="single"/>
        </w:rPr>
        <w:tab/>
        <w:t>Date</w:t>
      </w:r>
      <w:r w:rsidRPr="00EE0406">
        <w:rPr>
          <w:u w:val="single"/>
        </w:rPr>
        <w:tab/>
        <w:t>Body</w:t>
      </w:r>
      <w:r w:rsidRPr="00EE0406">
        <w:rPr>
          <w:u w:val="single"/>
        </w:rPr>
        <w:tab/>
        <w:t>Action Description with journal page number</w:t>
      </w:r>
      <w:r w:rsidRPr="00EE0406">
        <w:rPr>
          <w:u w:val="single"/>
        </w:rPr>
        <w:tab/>
      </w:r>
    </w:p>
    <w:p w:rsidR="0064211B" w:rsidRDefault="0064211B" w:rsidP="0064211B">
      <w:pPr>
        <w:widowControl w:val="0"/>
        <w:tabs>
          <w:tab w:val="right" w:pos="1008"/>
          <w:tab w:val="left" w:pos="1152"/>
          <w:tab w:val="left" w:pos="1872"/>
          <w:tab w:val="left" w:pos="9187"/>
        </w:tabs>
        <w:ind w:left="2088" w:hanging="2088"/>
      </w:pPr>
      <w:r>
        <w:tab/>
        <w:t>12/1/2010</w:t>
      </w:r>
      <w:r>
        <w:tab/>
        <w:t>Senate</w:t>
      </w:r>
      <w:r>
        <w:tab/>
      </w:r>
      <w:r w:rsidRPr="00E950AB">
        <w:t>Prefiled</w:t>
      </w:r>
    </w:p>
    <w:p w:rsidR="0064211B" w:rsidRDefault="0064211B" w:rsidP="0064211B">
      <w:pPr>
        <w:widowControl w:val="0"/>
        <w:tabs>
          <w:tab w:val="right" w:pos="1008"/>
          <w:tab w:val="left" w:pos="1152"/>
          <w:tab w:val="left" w:pos="1872"/>
          <w:tab w:val="left" w:pos="9187"/>
        </w:tabs>
        <w:ind w:left="2088" w:hanging="2088"/>
      </w:pPr>
      <w:r>
        <w:tab/>
        <w:t>12/1/2010</w:t>
      </w:r>
      <w:r>
        <w:tab/>
        <w:t>Senate</w:t>
      </w:r>
      <w:r>
        <w:tab/>
      </w:r>
      <w:r w:rsidRPr="00E950AB">
        <w:t xml:space="preserve">Referred to Committee on </w:t>
      </w:r>
      <w:r w:rsidRPr="00E950AB">
        <w:rPr>
          <w:b/>
        </w:rPr>
        <w:t>Transportation</w:t>
      </w:r>
    </w:p>
    <w:p w:rsidR="0064211B" w:rsidRDefault="0064211B" w:rsidP="0064211B">
      <w:pPr>
        <w:widowControl w:val="0"/>
        <w:tabs>
          <w:tab w:val="right" w:pos="1008"/>
          <w:tab w:val="left" w:pos="1152"/>
          <w:tab w:val="left" w:pos="1872"/>
          <w:tab w:val="left" w:pos="9187"/>
        </w:tabs>
        <w:ind w:left="2088" w:hanging="2088"/>
      </w:pPr>
      <w:r>
        <w:tab/>
        <w:t>1/11/2011</w:t>
      </w:r>
      <w:r>
        <w:tab/>
        <w:t>Senate</w:t>
      </w:r>
      <w:r>
        <w:tab/>
      </w:r>
      <w:r w:rsidRPr="00E950AB">
        <w:t>Introduced and read first time (</w:t>
      </w:r>
      <w:hyperlink r:id="rId6" w:history="1">
        <w:r w:rsidRPr="00E950AB">
          <w:rPr>
            <w:rStyle w:val="Hyperlink"/>
          </w:rPr>
          <w:t>Senate Journal</w:t>
        </w:r>
        <w:r w:rsidRPr="00E950AB">
          <w:rPr>
            <w:rStyle w:val="Hyperlink"/>
          </w:rPr>
          <w:noBreakHyphen/>
          <w:t>page 48</w:t>
        </w:r>
      </w:hyperlink>
      <w:r w:rsidRPr="00E950AB">
        <w:t>)</w:t>
      </w:r>
    </w:p>
    <w:p w:rsidR="0064211B" w:rsidRDefault="0064211B" w:rsidP="0064211B">
      <w:pPr>
        <w:widowControl w:val="0"/>
        <w:tabs>
          <w:tab w:val="right" w:pos="1008"/>
          <w:tab w:val="left" w:pos="1152"/>
          <w:tab w:val="left" w:pos="1872"/>
          <w:tab w:val="left" w:pos="9187"/>
        </w:tabs>
        <w:ind w:left="2088" w:hanging="2088"/>
      </w:pPr>
      <w:r>
        <w:tab/>
        <w:t>1/11/2011</w:t>
      </w:r>
      <w:r>
        <w:tab/>
        <w:t>Senate</w:t>
      </w:r>
      <w:r>
        <w:tab/>
      </w:r>
      <w:r w:rsidRPr="00E950AB">
        <w:t>Referred to Comm</w:t>
      </w:r>
      <w:r>
        <w:t xml:space="preserve">ittee on </w:t>
      </w:r>
      <w:r w:rsidRPr="00E950AB">
        <w:rPr>
          <w:b/>
        </w:rPr>
        <w:t>Transportation</w:t>
      </w:r>
      <w:r>
        <w:t xml:space="preserve"> (</w:t>
      </w:r>
      <w:hyperlink r:id="rId7" w:history="1">
        <w:r w:rsidRPr="00E950AB">
          <w:rPr>
            <w:rStyle w:val="Hyperlink"/>
          </w:rPr>
          <w:t>Senate Journal</w:t>
        </w:r>
        <w:r w:rsidRPr="00E950AB">
          <w:rPr>
            <w:rStyle w:val="Hyperlink"/>
          </w:rPr>
          <w:noBreakHyphen/>
          <w:t>page 48</w:t>
        </w:r>
      </w:hyperlink>
      <w:r w:rsidRPr="00E950AB">
        <w:t>)</w:t>
      </w:r>
    </w:p>
    <w:p w:rsidR="0064211B" w:rsidRDefault="0064211B" w:rsidP="0064211B">
      <w:pPr>
        <w:widowControl w:val="0"/>
        <w:tabs>
          <w:tab w:val="right" w:pos="1008"/>
          <w:tab w:val="left" w:pos="1152"/>
          <w:tab w:val="left" w:pos="1872"/>
          <w:tab w:val="left" w:pos="9187"/>
        </w:tabs>
        <w:ind w:left="2088" w:hanging="2088"/>
      </w:pPr>
    </w:p>
    <w:p w:rsidR="00EE0406" w:rsidRPr="00EE0406" w:rsidRDefault="00EE0406" w:rsidP="00EE0406">
      <w:pPr>
        <w:widowControl w:val="0"/>
        <w:tabs>
          <w:tab w:val="right" w:pos="1008"/>
          <w:tab w:val="left" w:pos="1152"/>
          <w:tab w:val="left" w:pos="1872"/>
          <w:tab w:val="left" w:pos="9187"/>
        </w:tabs>
        <w:ind w:left="2088" w:hanging="2088"/>
      </w:pPr>
    </w:p>
    <w:p w:rsidR="00EE0406" w:rsidRDefault="00EE0406" w:rsidP="00EE0406">
      <w:pPr>
        <w:widowControl w:val="0"/>
      </w:pPr>
      <w:r w:rsidRPr="00EE0406">
        <w:rPr>
          <w:b/>
        </w:rPr>
        <w:t>VERSIONS OF THIS BILL</w:t>
      </w:r>
    </w:p>
    <w:p w:rsidR="00EE0406" w:rsidRDefault="00EE0406" w:rsidP="00EE0406">
      <w:pPr>
        <w:widowControl w:val="0"/>
      </w:pPr>
    </w:p>
    <w:p w:rsidR="00EE0406" w:rsidRDefault="00BA25B7" w:rsidP="00EE0406">
      <w:pPr>
        <w:widowControl w:val="0"/>
      </w:pPr>
      <w:hyperlink r:id="rId8" w:history="1">
        <w:r w:rsidR="00EE0406">
          <w:rPr>
            <w:rStyle w:val="Hyperlink"/>
          </w:rPr>
          <w:t>12/1/2010</w:t>
        </w:r>
      </w:hyperlink>
    </w:p>
    <w:p w:rsidR="00EE0406" w:rsidRDefault="00EE0406" w:rsidP="00EE0406"/>
    <w:p w:rsidR="00EE0406" w:rsidRDefault="00EE0406" w:rsidP="00EE0406">
      <w:pPr>
        <w:sectPr w:rsidR="00EE0406" w:rsidSect="00EE040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1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21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63859" w:rsidP="00F3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CHAPTER 3, TITLE </w:t>
      </w:r>
      <w:r w:rsidR="00F60F6F">
        <w:rPr>
          <w:rFonts w:eastAsia="Times New Roman"/>
        </w:rPr>
        <w:t>5</w:t>
      </w:r>
      <w:r>
        <w:rPr>
          <w:rFonts w:eastAsia="Times New Roman"/>
        </w:rPr>
        <w:t>7</w:t>
      </w:r>
      <w:r w:rsidR="00D7668B">
        <w:rPr>
          <w:rFonts w:eastAsia="Times New Roman"/>
        </w:rPr>
        <w:t xml:space="preserve"> OF THE 1976 CODE</w:t>
      </w:r>
      <w:r>
        <w:rPr>
          <w:rFonts w:eastAsia="Times New Roman"/>
        </w:rPr>
        <w:t xml:space="preserve">, RELATING TO THE DEPARTMENT OF TRANSPORTATION, BY ADDING ARTICLE 3, PUBLIC-PRIVATE INITIATIVES,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w:t>
      </w:r>
      <w:r w:rsidR="00246852">
        <w:rPr>
          <w:rFonts w:eastAsia="Times New Roman"/>
        </w:rPr>
        <w:t xml:space="preserve">AND </w:t>
      </w:r>
      <w:r>
        <w:rPr>
          <w:rFonts w:eastAsia="Times New Roman"/>
        </w:rPr>
        <w:t>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w:t>
      </w:r>
      <w:r w:rsidR="006375E9">
        <w:rPr>
          <w:rFonts w:eastAsia="Times New Roman"/>
        </w:rPr>
        <w:t xml:space="preserve">, </w:t>
      </w:r>
      <w:r>
        <w:rPr>
          <w:rFonts w:eastAsia="Times New Roman"/>
        </w:rPr>
        <w:t xml:space="preserve">TO PROVIDE PUNISHMENT FOR VIOLATIONS, </w:t>
      </w:r>
      <w:r w:rsidR="006375E9">
        <w:rPr>
          <w:rFonts w:eastAsia="Times New Roman"/>
        </w:rPr>
        <w:t xml:space="preserve">AND </w:t>
      </w:r>
      <w:r>
        <w:rPr>
          <w:rFonts w:eastAsia="Times New Roman"/>
        </w:rPr>
        <w:t xml:space="preserve">TO PROVIDE FOR AN ELECTRONIC TOLLING SYSTEM; TO AMEND </w:t>
      </w:r>
      <w:r w:rsidR="00F60F6F">
        <w:rPr>
          <w:rFonts w:eastAsia="Times New Roman"/>
          <w:u w:color="000000" w:themeColor="text1"/>
        </w:rPr>
        <w:t xml:space="preserve">CHAPTER 35, TITLE 11, </w:t>
      </w:r>
      <w:r>
        <w:rPr>
          <w:rFonts w:eastAsia="Times New Roman"/>
          <w:u w:color="000000" w:themeColor="text1"/>
        </w:rPr>
        <w:t>BY ADDING SECTION 11</w:t>
      </w:r>
      <w:r>
        <w:rPr>
          <w:rFonts w:eastAsia="Times New Roman"/>
          <w:u w:color="000000" w:themeColor="text1"/>
        </w:rPr>
        <w:noBreakHyphen/>
      </w:r>
      <w:r w:rsidR="00E31757">
        <w:rPr>
          <w:rFonts w:eastAsia="Times New Roman"/>
          <w:u w:color="000000" w:themeColor="text1"/>
        </w:rPr>
        <w:t>35</w:t>
      </w:r>
      <w:r w:rsidR="00E31757">
        <w:rPr>
          <w:rFonts w:eastAsia="Times New Roman"/>
          <w:u w:color="000000" w:themeColor="text1"/>
        </w:rPr>
        <w:noBreakHyphen/>
        <w:t>3075, TO PROVIDE THAT PUBLIC-</w:t>
      </w:r>
      <w:r>
        <w:rPr>
          <w:rFonts w:eastAsia="Times New Roman"/>
          <w:u w:color="000000" w:themeColor="text1"/>
        </w:rPr>
        <w:t xml:space="preserve">PRIVATE INITIATIVES ARE SUBJECT TO THE PROCUREMENT CODE AND TO PROVIDE EXEMPTIONS; </w:t>
      </w:r>
      <w:r w:rsidR="004F2A0B" w:rsidRPr="004F2A0B">
        <w:rPr>
          <w:rFonts w:eastAsia="Times New Roman"/>
        </w:rPr>
        <w:t>TO AMEND SECTION 11</w:t>
      </w:r>
      <w:r w:rsidR="004F2A0B" w:rsidRPr="004F2A0B">
        <w:rPr>
          <w:rFonts w:eastAsia="Times New Roman"/>
        </w:rPr>
        <w:noBreakHyphen/>
        <w:t>35</w:t>
      </w:r>
      <w:r w:rsidR="004F2A0B" w:rsidRPr="004F2A0B">
        <w:rPr>
          <w:rFonts w:eastAsia="Times New Roman"/>
        </w:rPr>
        <w:noBreakHyphen/>
        <w:t>710</w:t>
      </w:r>
      <w:r w:rsidR="00D7668B">
        <w:rPr>
          <w:rFonts w:eastAsia="Times New Roman"/>
        </w:rPr>
        <w:t xml:space="preserve">, TO PROVIDE </w:t>
      </w:r>
      <w:r w:rsidR="004F2A0B" w:rsidRPr="004F2A0B">
        <w:rPr>
          <w:rFonts w:eastAsia="Times New Roman"/>
        </w:rPr>
        <w:t>THAT ITS PROVISIONS AR</w:t>
      </w:r>
      <w:r w:rsidR="00D7668B">
        <w:rPr>
          <w:rFonts w:eastAsia="Times New Roman"/>
        </w:rPr>
        <w:t>E SUBJECT TO SECTION 11</w:t>
      </w:r>
      <w:r w:rsidR="00D7668B">
        <w:rPr>
          <w:rFonts w:eastAsia="Times New Roman"/>
        </w:rPr>
        <w:noBreakHyphen/>
        <w:t>35</w:t>
      </w:r>
      <w:r w:rsidR="00D7668B">
        <w:rPr>
          <w:rFonts w:eastAsia="Times New Roman"/>
        </w:rPr>
        <w:noBreakHyphen/>
        <w:t>3075;</w:t>
      </w:r>
      <w:r w:rsidR="0026167A">
        <w:rPr>
          <w:rFonts w:eastAsia="Times New Roman"/>
        </w:rPr>
        <w:t xml:space="preserve"> </w:t>
      </w:r>
      <w:r>
        <w:rPr>
          <w:rFonts w:eastAsia="Times New Roman"/>
          <w:u w:color="000000" w:themeColor="text1"/>
        </w:rPr>
        <w:t xml:space="preserve">TO AMEND </w:t>
      </w:r>
      <w:r>
        <w:rPr>
          <w:rFonts w:eastAsia="MS Mincho"/>
          <w:szCs w:val="20"/>
          <w:u w:color="000000" w:themeColor="text1"/>
        </w:rPr>
        <w:t>SECTION 11</w:t>
      </w:r>
      <w:r>
        <w:rPr>
          <w:rFonts w:eastAsia="MS Mincho"/>
          <w:szCs w:val="20"/>
          <w:u w:color="000000" w:themeColor="text1"/>
        </w:rPr>
        <w:noBreakHyphen/>
        <w:t>35</w:t>
      </w:r>
      <w:r>
        <w:rPr>
          <w:rFonts w:eastAsia="MS Mincho"/>
          <w:szCs w:val="20"/>
          <w:u w:color="000000" w:themeColor="text1"/>
        </w:rPr>
        <w:noBreakHyphen/>
        <w:t>40</w:t>
      </w:r>
      <w:r w:rsidR="00F37E6A">
        <w:rPr>
          <w:rFonts w:eastAsia="MS Mincho"/>
          <w:szCs w:val="20"/>
          <w:u w:color="000000" w:themeColor="text1"/>
        </w:rPr>
        <w:t xml:space="preserve">, </w:t>
      </w:r>
      <w:r>
        <w:rPr>
          <w:rFonts w:eastAsia="MS Mincho"/>
          <w:szCs w:val="20"/>
          <w:u w:color="000000" w:themeColor="text1"/>
        </w:rPr>
        <w:t xml:space="preserve">TO PROVIDE FOR THE </w:t>
      </w:r>
      <w:r w:rsidR="00E31757">
        <w:rPr>
          <w:rFonts w:eastAsia="MS Mincho"/>
          <w:szCs w:val="20"/>
          <w:u w:color="000000" w:themeColor="text1"/>
        </w:rPr>
        <w:t>CIRCUMSTANCES IN WHICH A PUBLIC-</w:t>
      </w:r>
      <w:r>
        <w:rPr>
          <w:rFonts w:eastAsia="MS Mincho"/>
          <w:szCs w:val="20"/>
          <w:u w:color="000000" w:themeColor="text1"/>
        </w:rPr>
        <w:t xml:space="preserve">PRIVATE INITIATIVE SOLICITATION MUST IDENTIFY THE IMPACT ON FEDERAL HIGHWAY FUNDS; TO AMEND </w:t>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1625, TO CLA</w:t>
      </w:r>
      <w:r w:rsidR="00E31757">
        <w:rPr>
          <w:rFonts w:eastAsia="Times New Roman"/>
          <w:u w:color="000000" w:themeColor="text1"/>
        </w:rPr>
        <w:t>RIFY THE DEFINITION OF A DESIGN-</w:t>
      </w:r>
      <w:r>
        <w:rPr>
          <w:rFonts w:eastAsia="Times New Roman"/>
          <w:u w:color="000000" w:themeColor="text1"/>
        </w:rPr>
        <w:t>BUILD PROJECT; TO AMEND SECTION 5</w:t>
      </w:r>
      <w:r w:rsidR="00F65C1A">
        <w:rPr>
          <w:rFonts w:eastAsia="Times New Roman"/>
          <w:u w:color="000000" w:themeColor="text1"/>
        </w:rPr>
        <w:t>7</w:t>
      </w:r>
      <w:r w:rsidR="00F65C1A">
        <w:rPr>
          <w:rFonts w:eastAsia="Times New Roman"/>
          <w:u w:color="000000" w:themeColor="text1"/>
        </w:rPr>
        <w:noBreakHyphen/>
        <w:t>5</w:t>
      </w:r>
      <w:r w:rsidR="00F65C1A">
        <w:rPr>
          <w:rFonts w:eastAsia="Times New Roman"/>
          <w:u w:color="000000" w:themeColor="text1"/>
        </w:rPr>
        <w:noBreakHyphen/>
        <w:t>1310</w:t>
      </w:r>
      <w:r w:rsidR="00D7668B">
        <w:rPr>
          <w:rFonts w:eastAsia="Times New Roman"/>
          <w:u w:color="000000" w:themeColor="text1"/>
        </w:rPr>
        <w:t>,</w:t>
      </w:r>
      <w:r w:rsidR="00F65C1A">
        <w:rPr>
          <w:rFonts w:eastAsia="Times New Roman"/>
          <w:u w:color="000000" w:themeColor="text1"/>
        </w:rPr>
        <w:t xml:space="preserve"> TO PROVIDE THAT PUBLIC-</w:t>
      </w:r>
      <w:r>
        <w:rPr>
          <w:rFonts w:eastAsia="Times New Roman"/>
          <w:u w:color="000000" w:themeColor="text1"/>
        </w:rPr>
        <w:t>PRIVATE PARTNERSHIPS MAY BE UTILIZED ON NEW PROJECTS AND FOR IMPROVEMENTS TO EXISTING HIGHWAYS AND ROADS; TO AMEND SECTION 57</w:t>
      </w:r>
      <w:r>
        <w:rPr>
          <w:rFonts w:eastAsia="Times New Roman"/>
          <w:u w:color="000000" w:themeColor="text1"/>
        </w:rPr>
        <w:noBreakHyphen/>
        <w:t>5</w:t>
      </w:r>
      <w:r>
        <w:rPr>
          <w:rFonts w:eastAsia="Times New Roman"/>
          <w:u w:color="000000" w:themeColor="text1"/>
        </w:rPr>
        <w:noBreakHyphen/>
        <w:t>1320</w:t>
      </w:r>
      <w:r w:rsidR="00F37E6A">
        <w:rPr>
          <w:rFonts w:eastAsia="Times New Roman"/>
          <w:u w:color="000000" w:themeColor="text1"/>
        </w:rPr>
        <w:t xml:space="preserve">, </w:t>
      </w:r>
      <w:r>
        <w:rPr>
          <w:rFonts w:eastAsia="Times New Roman"/>
          <w:u w:color="000000" w:themeColor="text1"/>
        </w:rPr>
        <w:t xml:space="preserve">TO PROVIDE THAT THE DEFINITION OF </w:t>
      </w:r>
      <w:r w:rsidR="00D7668B">
        <w:rPr>
          <w:rFonts w:eastAsia="Times New Roman"/>
          <w:u w:color="000000" w:themeColor="text1"/>
        </w:rPr>
        <w:t>“</w:t>
      </w:r>
      <w:r>
        <w:rPr>
          <w:rFonts w:eastAsia="Times New Roman"/>
          <w:u w:color="000000" w:themeColor="text1"/>
        </w:rPr>
        <w:t>TURNPIKE FACILITY</w:t>
      </w:r>
      <w:r w:rsidR="00D7668B">
        <w:rPr>
          <w:rFonts w:eastAsia="Times New Roman"/>
          <w:u w:color="000000" w:themeColor="text1"/>
        </w:rPr>
        <w:t>”</w:t>
      </w:r>
      <w:r>
        <w:rPr>
          <w:rFonts w:eastAsia="Times New Roman"/>
          <w:u w:color="000000" w:themeColor="text1"/>
        </w:rPr>
        <w:t xml:space="preserve"> INCLUDES  </w:t>
      </w:r>
      <w:r w:rsidR="00D7668B">
        <w:rPr>
          <w:rFonts w:eastAsia="Times New Roman"/>
          <w:u w:color="000000" w:themeColor="text1"/>
        </w:rPr>
        <w:t xml:space="preserve">AN </w:t>
      </w:r>
      <w:r>
        <w:rPr>
          <w:rFonts w:eastAsia="Times New Roman"/>
          <w:u w:color="000000" w:themeColor="text1"/>
        </w:rPr>
        <w:t xml:space="preserve">EXPRESS HIGHWAY OR LIMITED ACCESS HIGHWAY </w:t>
      </w:r>
      <w:r w:rsidRPr="00F35482">
        <w:rPr>
          <w:rFonts w:eastAsia="Times New Roman"/>
        </w:rPr>
        <w:t xml:space="preserve">OR </w:t>
      </w:r>
      <w:r w:rsidR="00D7668B">
        <w:rPr>
          <w:rFonts w:eastAsia="Times New Roman"/>
        </w:rPr>
        <w:t xml:space="preserve">A </w:t>
      </w:r>
      <w:r w:rsidRPr="00F35482">
        <w:rPr>
          <w:rFonts w:eastAsia="Times New Roman"/>
        </w:rPr>
        <w:t>PORTION OF IT AND ADDITIONAL LANES OR CAPACITY ADDED TO IT;</w:t>
      </w:r>
      <w:r>
        <w:rPr>
          <w:rFonts w:eastAsia="Times New Roman"/>
        </w:rPr>
        <w:t xml:space="preserve"> </w:t>
      </w:r>
      <w:r w:rsidR="00F37E6A">
        <w:rPr>
          <w:rFonts w:eastAsia="Times New Roman"/>
          <w:u w:color="000000" w:themeColor="text1"/>
        </w:rPr>
        <w:t xml:space="preserve">TO AMEND </w:t>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1330</w:t>
      </w:r>
      <w:r w:rsidR="00F37E6A">
        <w:rPr>
          <w:rFonts w:eastAsia="Times New Roman"/>
          <w:u w:color="000000" w:themeColor="text1"/>
        </w:rPr>
        <w:t xml:space="preserve">, </w:t>
      </w:r>
      <w:r>
        <w:rPr>
          <w:rFonts w:eastAsia="Times New Roman"/>
          <w:u w:color="000000" w:themeColor="text1"/>
        </w:rPr>
        <w:t xml:space="preserve">TO PROVIDE THAT THE STATE MAY NOT DESIGNATE A TRANSPORTATION FACILITY AS A TURNPIKE FACILITY IF THE FACILITY WAS FULLY FUNDED BY A LOCAL OPTION SALES AND USE TAX AS PROVIDED IN CHAPTER 37 OF TITLE 4; TO AMEND </w:t>
      </w:r>
      <w:r>
        <w:t>SECTION 57</w:t>
      </w:r>
      <w:r>
        <w:noBreakHyphen/>
        <w:t>5</w:t>
      </w:r>
      <w:r>
        <w:noBreakHyphen/>
        <w:t>1660, TO PROVIDE FOR CONTRAC</w:t>
      </w:r>
      <w:r w:rsidR="00E31757">
        <w:t>TOR BONDS REQUIRED IN A PUBLIC-</w:t>
      </w:r>
      <w:r>
        <w:t>PRIVATE PARTNERSHIP PROJECT AND DESIGN</w:t>
      </w:r>
      <w:r w:rsidR="00E31757">
        <w:t>-</w:t>
      </w:r>
      <w:r>
        <w:t xml:space="preserve">BUILD PROJECTS; </w:t>
      </w:r>
      <w:r w:rsidR="004F2A0B">
        <w:t>TO AMEND SECTION</w:t>
      </w:r>
      <w:r w:rsidR="004F2A0B">
        <w:rPr>
          <w:rFonts w:eastAsia="Times New Roman"/>
          <w:u w:color="000000" w:themeColor="text1"/>
        </w:rPr>
        <w:t xml:space="preserve"> 40</w:t>
      </w:r>
      <w:r w:rsidR="004F2A0B">
        <w:rPr>
          <w:rFonts w:eastAsia="Times New Roman"/>
          <w:u w:color="000000" w:themeColor="text1"/>
        </w:rPr>
        <w:noBreakHyphen/>
        <w:t>11</w:t>
      </w:r>
      <w:r w:rsidR="004F2A0B">
        <w:rPr>
          <w:rFonts w:eastAsia="Times New Roman"/>
          <w:u w:color="000000" w:themeColor="text1"/>
        </w:rPr>
        <w:noBreakHyphen/>
        <w:t>360</w:t>
      </w:r>
      <w:r w:rsidR="00D7668B">
        <w:rPr>
          <w:rFonts w:eastAsia="Times New Roman"/>
          <w:u w:color="000000" w:themeColor="text1"/>
        </w:rPr>
        <w:t xml:space="preserve">, </w:t>
      </w:r>
      <w:r w:rsidR="004F2A0B">
        <w:rPr>
          <w:rFonts w:eastAsia="Times New Roman"/>
          <w:u w:color="000000" w:themeColor="text1"/>
        </w:rPr>
        <w:t>TO CONFORM THE SECTION TO ARTICLE 3, CHAPTER 3, TITLE 57;</w:t>
      </w:r>
      <w:r w:rsidR="0026167A">
        <w:rPr>
          <w:rFonts w:eastAsia="Times New Roman"/>
          <w:u w:color="000000" w:themeColor="text1"/>
        </w:rPr>
        <w:t xml:space="preserve"> </w:t>
      </w:r>
      <w:r>
        <w:t xml:space="preserve">TO PROVIDE THAT </w:t>
      </w:r>
      <w:r>
        <w:rPr>
          <w:rFonts w:eastAsia="Times New Roman"/>
          <w:u w:color="000000" w:themeColor="text1"/>
        </w:rPr>
        <w:t>IT IS THE INTENT OF THE GENERAL ASSEMBLY THAT PUBLIC</w:t>
      </w:r>
      <w:r>
        <w:rPr>
          <w:rFonts w:eastAsia="Times New Roman"/>
          <w:u w:color="000000" w:themeColor="text1"/>
        </w:rPr>
        <w:noBreakHyphen/>
        <w:t xml:space="preserve">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 TO REPEAL SECTIONS </w:t>
      </w:r>
      <w:r>
        <w:rPr>
          <w:u w:color="000000" w:themeColor="text1"/>
        </w:rPr>
        <w:t>12</w:t>
      </w:r>
      <w:r>
        <w:rPr>
          <w:u w:color="000000" w:themeColor="text1"/>
        </w:rPr>
        <w:noBreakHyphen/>
        <w:t>28</w:t>
      </w:r>
      <w:r>
        <w:rPr>
          <w:u w:color="000000" w:themeColor="text1"/>
        </w:rPr>
        <w:noBreakHyphen/>
        <w:t>2920, 57</w:t>
      </w:r>
      <w:r>
        <w:rPr>
          <w:u w:color="000000" w:themeColor="text1"/>
        </w:rPr>
        <w:noBreakHyphen/>
        <w:t>3</w:t>
      </w:r>
      <w:r>
        <w:rPr>
          <w:u w:color="000000" w:themeColor="text1"/>
        </w:rPr>
        <w:noBreakHyphen/>
        <w:t>200, 57</w:t>
      </w:r>
      <w:r>
        <w:rPr>
          <w:u w:color="000000" w:themeColor="text1"/>
        </w:rPr>
        <w:noBreakHyphen/>
        <w:t>3</w:t>
      </w:r>
      <w:r>
        <w:rPr>
          <w:u w:color="000000" w:themeColor="text1"/>
        </w:rPr>
        <w:noBreakHyphen/>
        <w:t>615, 57</w:t>
      </w:r>
      <w:r>
        <w:rPr>
          <w:u w:color="000000" w:themeColor="text1"/>
        </w:rPr>
        <w:noBreakHyphen/>
        <w:t>3</w:t>
      </w:r>
      <w:r>
        <w:rPr>
          <w:u w:color="000000" w:themeColor="text1"/>
        </w:rPr>
        <w:noBreakHyphen/>
        <w:t>618, 57</w:t>
      </w:r>
      <w:r>
        <w:rPr>
          <w:u w:color="000000" w:themeColor="text1"/>
        </w:rPr>
        <w:noBreakHyphen/>
        <w:t>5</w:t>
      </w:r>
      <w:r>
        <w:rPr>
          <w:u w:color="000000" w:themeColor="text1"/>
        </w:rPr>
        <w:noBreakHyphen/>
        <w:t>1490, AND 57</w:t>
      </w:r>
      <w:r>
        <w:rPr>
          <w:u w:color="000000" w:themeColor="text1"/>
        </w:rPr>
        <w:noBreakHyphen/>
        <w:t>5</w:t>
      </w:r>
      <w:r>
        <w:rPr>
          <w:u w:color="000000" w:themeColor="text1"/>
        </w:rPr>
        <w:noBreakHyphen/>
        <w:t>1495; AND TO MAKE OTHER TECHNICAL AND CONFORMING AMENDMENTS.</w:t>
      </w:r>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w:t>
      </w:r>
      <w:r>
        <w:rPr>
          <w:rFonts w:eastAsia="Times New Roman"/>
          <w:u w:color="000000" w:themeColor="text1"/>
        </w:rPr>
        <w:tab/>
        <w:t>This act may be referred to and cited as the “Transportation Infrastructure Funding Flexibility Act”.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2.</w:t>
      </w:r>
      <w:r>
        <w:rPr>
          <w:rFonts w:eastAsia="Times New Roman"/>
          <w:u w:color="000000" w:themeColor="text1"/>
        </w:rPr>
        <w:tab/>
        <w:t>Chapter 3, Title 57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3</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Public</w:t>
      </w:r>
      <w:r>
        <w:rPr>
          <w:rFonts w:eastAsia="Times New Roman"/>
          <w:u w:color="000000" w:themeColor="text1"/>
        </w:rPr>
        <w:noBreakHyphen/>
        <w:t>Private Initiatives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300.</w:t>
      </w:r>
      <w:r>
        <w:rPr>
          <w:rFonts w:eastAsia="Times New Roman"/>
          <w:u w:color="000000" w:themeColor="text1"/>
        </w:rPr>
        <w:tab/>
        <w:t>As used in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‘Affected jurisdiction’ means any county, city, town, municipal corporation, or other political subdivision within the State in which all or part of a transportation facility is located or any other public entity directly affected by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‘Board’ means the State Budget and Control Board.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(3)</w:t>
      </w:r>
      <w:r>
        <w:rPr>
          <w:rFonts w:eastAsia="Times New Roman"/>
          <w:u w:color="000000" w:themeColor="text1"/>
        </w:rPr>
        <w:tab/>
        <w:t>‘Department’ means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(4)</w:t>
      </w:r>
      <w:r>
        <w:rPr>
          <w:rFonts w:eastAsia="Times New Roman"/>
          <w:u w:color="000000" w:themeColor="text1"/>
        </w:rPr>
        <w:tab/>
        <w:t>‘Existing transportation facility’ means a transportation facility not subject to a public</w:t>
      </w:r>
      <w:r>
        <w:rPr>
          <w:rFonts w:eastAsia="Times New Roman"/>
          <w:u w:color="000000" w:themeColor="text1"/>
        </w:rPr>
        <w:noBreakHyphen/>
        <w:t>private partnership agreement and open and operating as of January 1, 2009.</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(5)</w:t>
      </w:r>
      <w:r>
        <w:rPr>
          <w:rFonts w:eastAsia="Times New Roman"/>
          <w:u w:color="000000" w:themeColor="text1"/>
        </w:rPr>
        <w:tab/>
        <w:t>‘Independent financial consultant’ means a private entity that the department shall contract with to provide consulting services related to and a critical analysis of the anticipated financial structure of the partnership agreement.  Prior to the execution of the partnership agreement, the consultant’s report must be provided to the Department of Transportation Commission and the State Budget and Control Board.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(6)</w:t>
      </w:r>
      <w:r>
        <w:rPr>
          <w:rFonts w:eastAsia="Times New Roman"/>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(7)</w:t>
      </w:r>
      <w:r>
        <w:rPr>
          <w:rFonts w:eastAsia="Times New Roman"/>
          <w:u w:color="000000" w:themeColor="text1"/>
        </w:rPr>
        <w:tab/>
        <w:t>‘Operator’ means a private entity that is financing, managing, administering, maintaining, improving, equipping, or modifying a transportation facility pursuant to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(8)</w:t>
      </w:r>
      <w:r>
        <w:rPr>
          <w:rFonts w:eastAsia="Times New Roman"/>
          <w:u w:color="000000" w:themeColor="text1"/>
        </w:rPr>
        <w:tab/>
        <w:t>‘Partnership agreement’ means the contract entered into pursuant to this article between a private entity and the department containing the terms and conditions under which a public</w:t>
      </w:r>
      <w:r>
        <w:rPr>
          <w:rFonts w:eastAsia="Times New Roman"/>
          <w:u w:color="000000" w:themeColor="text1"/>
        </w:rPr>
        <w:noBreakHyphen/>
        <w:t>private initiative will be carried out.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(9)</w:t>
      </w:r>
      <w:r>
        <w:rPr>
          <w:rFonts w:eastAsia="Times New Roman"/>
          <w:u w:color="000000" w:themeColor="text1"/>
        </w:rPr>
        <w:tab/>
        <w:t>‘Private entity’ means any natural person, corporation, general partnership, limited liability company, limited partnership, joint venture, business trust, public benefit corporation, non</w:t>
      </w:r>
      <w:r>
        <w:rPr>
          <w:rFonts w:eastAsia="Times New Roman"/>
          <w:u w:color="000000" w:themeColor="text1"/>
        </w:rPr>
        <w:noBreakHyphen/>
        <w:t>profit entity, or other business entity.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(10)</w:t>
      </w:r>
      <w:r>
        <w:rPr>
          <w:rFonts w:eastAsia="Times New Roman"/>
          <w:u w:color="000000" w:themeColor="text1"/>
        </w:rPr>
        <w:tab/>
        <w:t>‘Public interest’ means a balancing of the following factors: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(a)</w:t>
      </w:r>
      <w:r>
        <w:rPr>
          <w:rFonts w:eastAsia="Times New Roman"/>
          <w:u w:color="000000" w:themeColor="text1"/>
        </w:rPr>
        <w:tab/>
        <w:t>whether the project under consideration contributes to the general welfare and convenience of the people of this State;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(b)</w:t>
      </w:r>
      <w:r>
        <w:rPr>
          <w:rFonts w:eastAsia="Times New Roman"/>
          <w:u w:color="000000" w:themeColor="text1"/>
        </w:rPr>
        <w:tab/>
        <w:t>whether the project delivery method under consideration is: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the most advantageous to the State and the public as a whole;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likely to result in the most timely, economical, and successful completion of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(iii)</w:t>
      </w:r>
      <w:r>
        <w:rPr>
          <w:rFonts w:eastAsia="Times New Roman"/>
          <w:u w:color="000000" w:themeColor="text1"/>
        </w:rPr>
        <w:tab/>
        <w:t>likely to result in the economical and efficient management, maintenance, and operation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long and short term consideration of the impact the delivery method under consideration will have on all users;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(d)</w:t>
      </w:r>
      <w:r>
        <w:rPr>
          <w:rFonts w:eastAsia="Times New Roman"/>
          <w:u w:color="000000" w:themeColor="text1"/>
        </w:rPr>
        <w:tab/>
        <w:t>local circumstances and conditions in the affected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(11)</w:t>
      </w:r>
      <w:r>
        <w:rPr>
          <w:rFonts w:eastAsia="Times New Roman"/>
          <w:u w:color="000000" w:themeColor="text1"/>
        </w:rPr>
        <w:tab/>
        <w:t>‘Public</w:t>
      </w:r>
      <w:r>
        <w:rPr>
          <w:rFonts w:eastAsia="Times New Roman"/>
          <w:u w:color="000000" w:themeColor="text1"/>
        </w:rPr>
        <w:noBreakHyphen/>
        <w:t>private initiative’ means an arrangement between the department and a private entity, the terms and conditions of which are stated in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(12)</w:t>
      </w:r>
      <w:r>
        <w:rPr>
          <w:rFonts w:eastAsia="Times New Roman"/>
          <w:u w:color="000000" w:themeColor="text1"/>
        </w:rPr>
        <w:tab/>
        <w:t>‘Responder’ means a private entity that responds to a request for qualifications or a request for proposal, as appropriate.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(13)</w:t>
      </w:r>
      <w:r>
        <w:rPr>
          <w:rFonts w:eastAsia="Times New Roman"/>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Pr>
          <w:u w:color="000000" w:themeColor="text1"/>
        </w:rPr>
        <w:t>(14)</w:t>
      </w:r>
      <w:r>
        <w:rPr>
          <w:u w:color="000000" w:themeColor="text1"/>
        </w:rPr>
        <w:tab/>
        <w:t>‘User fees’ means the rate, toll, fee, or other charges imposed by the department and collected by a private entity pursuant to a partnership agreement for use of all or part of a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310.</w:t>
      </w:r>
      <w:r>
        <w:rPr>
          <w:rFonts w:eastAsia="Times New Roman"/>
          <w:u w:color="000000" w:themeColor="text1"/>
        </w:rPr>
        <w:tab/>
      </w:r>
      <w:r>
        <w:rPr>
          <w:u w:color="000000" w:themeColor="text1"/>
        </w:rPr>
        <w:t>The department may enter into public</w:t>
      </w:r>
      <w:r>
        <w:rPr>
          <w:u w:color="000000" w:themeColor="text1"/>
        </w:rPr>
        <w:noBreakHyphen/>
        <w:t>private initiatives for transportation facilities using the design</w:t>
      </w:r>
      <w:r>
        <w:rPr>
          <w:u w:color="000000" w:themeColor="text1"/>
        </w:rPr>
        <w:noBreakHyphen/>
        <w:t>build</w:t>
      </w:r>
      <w:r>
        <w:rPr>
          <w:u w:color="000000" w:themeColor="text1"/>
        </w:rPr>
        <w:noBreakHyphen/>
        <w:t>operate</w:t>
      </w:r>
      <w:r>
        <w:rPr>
          <w:u w:color="000000" w:themeColor="text1"/>
        </w:rPr>
        <w:noBreakHyphen/>
        <w:t>maintain or design</w:t>
      </w:r>
      <w:r>
        <w:rPr>
          <w:u w:color="000000" w:themeColor="text1"/>
        </w:rPr>
        <w:noBreakHyphen/>
        <w:t>build</w:t>
      </w:r>
      <w:r>
        <w:rPr>
          <w:u w:color="000000" w:themeColor="text1"/>
        </w:rPr>
        <w:noBreakHyphen/>
        <w:t>finance</w:t>
      </w:r>
      <w:r>
        <w:rPr>
          <w:u w:color="000000" w:themeColor="text1"/>
        </w:rPr>
        <w:noBreakHyphen/>
        <w:t>operate</w:t>
      </w:r>
      <w:r>
        <w:rPr>
          <w:u w:color="000000" w:themeColor="text1"/>
        </w:rPr>
        <w:noBreakHyphen/>
        <w:t>maintain project delivery methods, as defined in Section 11</w:t>
      </w:r>
      <w:r>
        <w:rPr>
          <w:u w:color="000000" w:themeColor="text1"/>
        </w:rPr>
        <w:noBreakHyphen/>
        <w:t>35</w:t>
      </w:r>
      <w:r>
        <w:rPr>
          <w:u w:color="000000" w:themeColor="text1"/>
        </w:rPr>
        <w:noBreakHyphen/>
        <w:t>2910, only if upon thorough analysis the department determines in writing that for that particular transportation facility a public</w:t>
      </w:r>
      <w:r>
        <w:rPr>
          <w:u w:color="000000" w:themeColor="text1"/>
        </w:rPr>
        <w:noBreakHyphen/>
        <w:t>private initiative is in the public interest.  The written determination must also address, in general terms, the anticipated financial structure and the anticipated term of the public</w:t>
      </w:r>
      <w:r>
        <w:rPr>
          <w:u w:color="000000" w:themeColor="text1"/>
        </w:rPr>
        <w:noBreakHyphen/>
        <w:t>private initiative.  The department must post its determination and supporting analysis in a conspicuous location on its internet website.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320.</w:t>
      </w:r>
      <w:r>
        <w:rPr>
          <w:u w:color="000000" w:themeColor="text1"/>
        </w:rPr>
        <w:tab/>
        <w:t>This article does not apply to contracts using the design</w:t>
      </w:r>
      <w:r>
        <w:rPr>
          <w:u w:color="000000" w:themeColor="text1"/>
        </w:rPr>
        <w:noBreakHyphen/>
        <w:t>build or the design</w:t>
      </w:r>
      <w:r>
        <w:rPr>
          <w:u w:color="000000" w:themeColor="text1"/>
        </w:rPr>
        <w:noBreakHyphen/>
        <w:t>bid</w:t>
      </w:r>
      <w:r>
        <w:rPr>
          <w:u w:color="000000" w:themeColor="text1"/>
        </w:rPr>
        <w:noBreakHyphen/>
        <w:t>build project delivery methods, as defined in Section 11</w:t>
      </w:r>
      <w:r>
        <w:rPr>
          <w:u w:color="000000" w:themeColor="text1"/>
        </w:rPr>
        <w:noBreakHyphen/>
        <w:t>35</w:t>
      </w:r>
      <w:r>
        <w:rPr>
          <w:u w:color="000000" w:themeColor="text1"/>
        </w:rPr>
        <w:noBreakHyphen/>
        <w:t>2910.</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330.</w:t>
      </w:r>
      <w:r>
        <w:rPr>
          <w:u w:color="000000" w:themeColor="text1"/>
        </w:rPr>
        <w:tab/>
        <w:t>(A)</w:t>
      </w:r>
      <w:r>
        <w:rPr>
          <w:u w:color="000000" w:themeColor="text1"/>
        </w:rPr>
        <w:tab/>
        <w:t>Subject to the provisions of this article, the department may solicit, receive, consider, evaluate, and accept proposals for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not consider, evaluate, or accept unsolicited proposals for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An existing transportation facility may not be the subject of a public</w:t>
      </w:r>
      <w:r>
        <w:rPr>
          <w:u w:color="000000" w:themeColor="text1"/>
        </w:rPr>
        <w:noBreakHyphen/>
        <w:t>private initiative.  However, if new capacity or lanes are added to an existing transportation facility, then the additional capacity or new lanes may be the subject of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340.</w:t>
      </w:r>
      <w:r>
        <w:rPr>
          <w:u w:color="000000" w:themeColor="text1"/>
        </w:rPr>
        <w:tab/>
        <w:t>The department may solicit proposals for public</w:t>
      </w:r>
      <w:r>
        <w:rPr>
          <w:u w:color="000000" w:themeColor="text1"/>
        </w:rPr>
        <w:noBreakHyphen/>
        <w:t>private initiatives only pursuant to a request for qualifications and a request for proposals that have been approved by the board.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350.</w:t>
      </w:r>
      <w:r>
        <w:rPr>
          <w:u w:color="000000" w:themeColor="text1"/>
        </w:rPr>
        <w:tab/>
        <w:t>(A)</w:t>
      </w:r>
      <w:r>
        <w:rPr>
          <w:u w:color="000000" w:themeColor="text1"/>
        </w:rPr>
        <w:tab/>
        <w:t>After the department makes and posts the written determination required by  Section 57</w:t>
      </w:r>
      <w:r>
        <w:rPr>
          <w:u w:color="000000" w:themeColor="text1"/>
        </w:rPr>
        <w:noBreakHyphen/>
        <w:t>3</w:t>
      </w:r>
      <w:r>
        <w:rPr>
          <w:u w:color="000000" w:themeColor="text1"/>
        </w:rPr>
        <w:noBreakHyphen/>
        <w:t>310, the department must first prepare a request for qualifications and submit the request for qualifications to the board for approval.  This prequalification process must comply with Section 11</w:t>
      </w:r>
      <w:r>
        <w:rPr>
          <w:u w:color="000000" w:themeColor="text1"/>
        </w:rPr>
        <w:noBreakHyphen/>
        <w:t>35</w:t>
      </w:r>
      <w:r>
        <w:rPr>
          <w:u w:color="000000" w:themeColor="text1"/>
        </w:rPr>
        <w:noBreakHyphen/>
        <w:t xml:space="preserve">3023.  Before the date set for submission, the department shall provide adequate public notice of the request for qualifications.  The notice must be designed to successfully communicate with a broad spectrum of prospective responders.  </w:t>
      </w:r>
      <w:r>
        <w:rPr>
          <w:u w:color="000000" w:themeColor="text1"/>
        </w:rPr>
        <w:tab/>
        <w:t>The date set for submissions from interested private entities must be no less than fifteen days after the department formally issues the request for qualifications.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 xml:space="preserve">The department may issue the request for qualifications upon approval by the board.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department may interview any or all of the responders in making its determination as to which responders are most qualified.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360.</w:t>
      </w:r>
      <w:r>
        <w:rPr>
          <w:u w:color="000000" w:themeColor="text1"/>
        </w:rPr>
        <w:tab/>
        <w:t>(A)</w:t>
      </w:r>
      <w:r>
        <w:rPr>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(B)</w:t>
      </w:r>
      <w:r>
        <w:rPr>
          <w:u w:color="000000" w:themeColor="text1"/>
        </w:rPr>
        <w:tab/>
      </w:r>
      <w:r>
        <w:rPr>
          <w:rFonts w:eastAsia="Times New Roman"/>
          <w:szCs w:val="24"/>
          <w:u w:color="000000" w:themeColor="text1"/>
        </w:rPr>
        <w:t>A notice of the public meeting must be forwarded to a newspaper of general circulation in all affected jurisdictions with a request that it be published at least once a week for two consecutive weeks.  A notice of the meeting must also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t>Section 57</w:t>
      </w:r>
      <w:r>
        <w:rPr>
          <w:rFonts w:eastAsia="Times New Roman"/>
          <w:szCs w:val="24"/>
          <w:u w:color="000000" w:themeColor="text1"/>
        </w:rPr>
        <w:noBreakHyphen/>
        <w:t>3</w:t>
      </w:r>
      <w:r>
        <w:rPr>
          <w:rFonts w:eastAsia="Times New Roman"/>
          <w:szCs w:val="24"/>
          <w:u w:color="000000" w:themeColor="text1"/>
        </w:rPr>
        <w:noBreakHyphen/>
        <w:t>370.</w:t>
      </w:r>
      <w:r>
        <w:rPr>
          <w:rFonts w:eastAsia="Times New Roman"/>
          <w:szCs w:val="24"/>
          <w:u w:color="000000" w:themeColor="text1"/>
        </w:rPr>
        <w:tab/>
        <w:t>(A)</w:t>
      </w:r>
      <w:r>
        <w:rPr>
          <w:rFonts w:eastAsia="Times New Roman"/>
          <w:szCs w:val="24"/>
          <w:u w:color="000000" w:themeColor="text1"/>
        </w:rPr>
        <w:tab/>
        <w:t>The request for proposal prepared by the department that is the subject of the public meeting required by Section 57</w:t>
      </w:r>
      <w:r>
        <w:rPr>
          <w:rFonts w:eastAsia="Times New Roman"/>
          <w:szCs w:val="24"/>
          <w:u w:color="000000" w:themeColor="text1"/>
        </w:rPr>
        <w:noBreakHyphen/>
        <w:t>3</w:t>
      </w:r>
      <w:r>
        <w:rPr>
          <w:rFonts w:eastAsia="Times New Roman"/>
          <w:szCs w:val="24"/>
          <w:u w:color="000000" w:themeColor="text1"/>
        </w:rPr>
        <w:noBreakHyphen/>
        <w:t>360 and submitted to the board for consideration, must be detailed enough and contain sufficient information for the board to determine whether the proposed public</w:t>
      </w:r>
      <w:r>
        <w:rPr>
          <w:rFonts w:eastAsia="Times New Roman"/>
          <w:szCs w:val="24"/>
          <w:u w:color="000000" w:themeColor="text1"/>
        </w:rPr>
        <w:noBreakHyphen/>
        <w:t>private initiative is in the public interest.  In addition to any other legal requirements, the request for proposal must include: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expected, desired, or approved location or route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maximum term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user fees, if any, when the facility opens for operation;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the text of any anticipated non</w:t>
      </w:r>
      <w:r>
        <w:rPr>
          <w:u w:color="000000" w:themeColor="text1"/>
        </w:rPr>
        <w:noBreakHyphen/>
        <w:t>compete clause to be used in the partnership agreement, if any.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380.</w:t>
      </w:r>
      <w:r>
        <w:rPr>
          <w:u w:color="000000" w:themeColor="text1"/>
        </w:rPr>
        <w:tab/>
        <w:t>(A)</w:t>
      </w:r>
      <w:r>
        <w:rPr>
          <w:u w:color="000000" w:themeColor="text1"/>
        </w:rPr>
        <w:tab/>
        <w:t>To approve a request for proposal, the board must determine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proposed public</w:t>
      </w:r>
      <w:r>
        <w:rPr>
          <w:u w:color="000000" w:themeColor="text1"/>
        </w:rPr>
        <w:noBreakHyphen/>
        <w:t>private initiative is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financial structure of the public</w:t>
      </w:r>
      <w:r>
        <w:rPr>
          <w:u w:color="000000" w:themeColor="text1"/>
        </w:rPr>
        <w:noBreakHyphen/>
        <w:t>private initiative is sound;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term of the public</w:t>
      </w:r>
      <w:r>
        <w:rPr>
          <w:u w:color="000000" w:themeColor="text1"/>
        </w:rPr>
        <w:noBreakHyphen/>
        <w:t>private initiative is reasonable under the circumstances;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any anticipated non</w:t>
      </w:r>
      <w:r>
        <w:rPr>
          <w:u w:color="000000" w:themeColor="text1"/>
        </w:rPr>
        <w:noBreakHyphen/>
        <w:t>compete clauses proposed to be included in a partnership agreement do not put the public at a disadvantage.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 term longer than thirty years must be specifically approved by the board and the approval must be accompanied by a written justification for the approved length.</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must provide the board with any additional information that the board reasonably believes is necessary to make its determination.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390.</w:t>
      </w:r>
      <w:r>
        <w:rPr>
          <w:u w:color="000000" w:themeColor="text1"/>
        </w:rPr>
        <w:tab/>
        <w:t>After the department is notified of the board’s favorable determination, the department may formally issue the request for proposal.</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400.</w:t>
      </w:r>
      <w:r>
        <w:rPr>
          <w:rFonts w:eastAsia="Times New Roman"/>
          <w:u w:color="000000" w:themeColor="text1"/>
        </w:rPr>
        <w:tab/>
        <w:t>(A)</w:t>
      </w:r>
      <w:r>
        <w:rPr>
          <w:rFonts w:eastAsia="Times New Roman"/>
          <w:u w:color="000000" w:themeColor="text1"/>
        </w:rPr>
        <w:tab/>
        <w:t>The department may enter into a partnership agreement under the provisions of this article.  The terms of the partnership agreement must: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be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provide that the private entity shall keep the transportation facility open for use by the members of the public after its initial opening upon payment of the applicable user fees, if any; provided, that the transportation facility may be temporarily closed because of emergencies or, with the consent of the department, to protect the safety of the public or for reasonable construction or maintenance procedures;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provide: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the term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grant, if any, to the private entity of a right to operate the transportation facility and the payment, if any, to be paid to the department;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whether user fees will be collected on the transportation facility and the basis by which the user fees shall be determined and modified, provided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any user fees and user fee adjustments provided in a partnership agreement may be computed under a congestion pricing method for the sole purpose of managing traffic flow;</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for the distribution of payments, if any;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the guaranteed cost and completion guarantees, if any, related to the development or operation, or both, of the transportation facility and payment of damages for failure to meet the completion guarantee;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a description of the actions the department may take to ensure proper maintenance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remedies for default or non</w:t>
      </w:r>
      <w:r>
        <w:rPr>
          <w:rFonts w:eastAsia="Times New Roman"/>
          <w:u w:color="000000" w:themeColor="text1"/>
        </w:rPr>
        <w:noBreakHyphen/>
        <w:t xml:space="preserve">performance under the partnership agreement and grounds for termination of the partnership agreement by the department or private entity;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(j)</w:t>
      </w:r>
      <w:r>
        <w:rPr>
          <w:rFonts w:eastAsia="Times New Roman"/>
          <w:u w:color="000000" w:themeColor="text1"/>
        </w:rPr>
        <w:tab/>
      </w:r>
      <w:r>
        <w:rPr>
          <w:rFonts w:eastAsia="Times New Roman"/>
          <w:u w:color="000000" w:themeColor="text1"/>
        </w:rPr>
        <w:tab/>
        <w:t>procedures for amendment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(k)</w:t>
      </w:r>
      <w:r>
        <w:rPr>
          <w:rFonts w:eastAsia="Times New Roman"/>
          <w:u w:color="000000" w:themeColor="text1"/>
        </w:rPr>
        <w:tab/>
        <w:t>the accounting and auditing standards to be used to evaluate progress on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(l)</w:t>
      </w:r>
      <w:r>
        <w:rPr>
          <w:rFonts w:eastAsia="Times New Roman"/>
          <w:u w:color="000000" w:themeColor="text1"/>
        </w:rPr>
        <w:tab/>
      </w:r>
      <w:r>
        <w:rPr>
          <w:rFonts w:eastAsia="Times New Roman"/>
          <w:u w:color="000000" w:themeColor="text1"/>
        </w:rPr>
        <w:tab/>
        <w:t xml:space="preserve">which party will assume responsibility for specific project elements and the timing of the assumption of responsibility;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(m)</w:t>
      </w:r>
      <w:r>
        <w:rPr>
          <w:rFonts w:eastAsia="Times New Roman"/>
          <w:u w:color="000000" w:themeColor="text1"/>
        </w:rPr>
        <w:tab/>
        <w:t>that a user fee may not be imposed upon either a school bus, as defined in Section 56</w:t>
      </w:r>
      <w:r>
        <w:rPr>
          <w:rFonts w:eastAsia="Times New Roman"/>
          <w:u w:color="000000" w:themeColor="text1"/>
        </w:rPr>
        <w:noBreakHyphen/>
        <w:t>5</w:t>
      </w:r>
      <w:r>
        <w:rPr>
          <w:rFonts w:eastAsia="Times New Roman"/>
          <w:u w:color="000000" w:themeColor="text1"/>
        </w:rPr>
        <w:noBreakHyphen/>
        <w:t>190, that is owned, operated, or leased by either a public school or the South Carolina Department of Education, or on an authorized emergency vehicle, as defined in Section 56</w:t>
      </w:r>
      <w:r>
        <w:rPr>
          <w:rFonts w:eastAsia="Times New Roman"/>
          <w:u w:color="000000" w:themeColor="text1"/>
        </w:rPr>
        <w:noBreakHyphen/>
        <w:t>5</w:t>
      </w:r>
      <w:r>
        <w:rPr>
          <w:rFonts w:eastAsia="Times New Roman"/>
          <w:u w:color="000000" w:themeColor="text1"/>
        </w:rPr>
        <w:noBreakHyphen/>
        <w:t>170;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(n)</w:t>
      </w:r>
      <w:r>
        <w:rPr>
          <w:rFonts w:eastAsia="Times New Roman"/>
          <w:u w:color="000000" w:themeColor="text1"/>
        </w:rPr>
        <w:tab/>
        <w:t>any other terms and provisions that the department deems reasonable, necessary, or appropriate, including provisions for revenue sources other than user fees.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partnership agreement may provide for an alternative dispute resolution process.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4"/>
          <w:u w:color="000000" w:themeColor="text1"/>
        </w:rPr>
        <w:tab/>
        <w:t>(D)</w:t>
      </w:r>
      <w:r>
        <w:rPr>
          <w:rFonts w:eastAsia="Times New Roman"/>
          <w:szCs w:val="24"/>
          <w:u w:color="000000" w:themeColor="text1"/>
        </w:rPr>
        <w:tab/>
      </w:r>
      <w:r>
        <w:rPr>
          <w:rFonts w:eastAsia="Times New Roman"/>
          <w:u w:color="000000" w:themeColor="text1"/>
        </w:rPr>
        <w:t>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partnership agreement.  An executed partnership agreement is void ab initio if it contains any material deviations.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(E)</w:t>
      </w:r>
      <w:r>
        <w:rPr>
          <w:rFonts w:eastAsia="Times New Roman"/>
          <w:u w:color="000000" w:themeColor="text1"/>
        </w:rPr>
        <w:tab/>
        <w:t>The department may not enter into a partnership agreement unless it has complied with the requirements of Title 11, Chapter 35 and until the contractual terms of the partnership agreement have been approved by the Department of Transportation Commission.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All partnership agreements must be transmitted to the General Assembly, the board, and the Governor and posted in a conspicuous place on the department’s internet website.</w:t>
      </w:r>
    </w:p>
    <w:p w:rsidR="00F60F6F" w:rsidRDefault="00F60F6F"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410.</w:t>
      </w:r>
      <w:r>
        <w:rPr>
          <w:u w:color="000000" w:themeColor="text1"/>
        </w:rPr>
        <w:tab/>
        <w:t>The department shall own fee simple title to the transportation facility.  The transportation facility must be open for public use, enjoyment, safety, and welfare.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420.</w:t>
      </w:r>
      <w:r>
        <w:rPr>
          <w:u w:color="000000" w:themeColor="text1"/>
        </w:rPr>
        <w:tab/>
        <w:t>(A)</w:t>
      </w:r>
      <w:r>
        <w:rPr>
          <w:u w:color="000000" w:themeColor="text1"/>
        </w:rPr>
        <w:tab/>
        <w:t>If the department terminates the partnership agreement for default, the department may, without limitation: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elect to take over the transportation facility, including the succession of all right, title, and interest in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exercise any other available rights and remedies;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conduct a procurement pursuant to this article to enter into a new partnership agreement with a different private entity.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force majeure defense.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430.</w:t>
      </w:r>
      <w:r>
        <w:rPr>
          <w:rFonts w:eastAsia="Times New Roman"/>
          <w:u w:color="000000" w:themeColor="text1"/>
        </w:rPr>
        <w:tab/>
        <w:t>(A)</w:t>
      </w:r>
      <w:r>
        <w:rPr>
          <w:rFonts w:eastAsia="Times New Roman"/>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State assents to any federal requirements, conditions, or terms of any federal funding accepted by the department under this section.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The department may enter into agreements or other arrangements with the United States or any of its agencies that may be necessary for carrying out the purposes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(E)</w:t>
      </w:r>
      <w:r>
        <w:rPr>
          <w:u w:color="000000" w:themeColor="text1"/>
        </w:rPr>
        <w:tab/>
        <w:t>The department may combine federal, state, local, and private funds to finance a transportation facility under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440.</w:t>
      </w:r>
      <w:r>
        <w:rPr>
          <w:u w:color="000000" w:themeColor="text1"/>
        </w:rPr>
        <w:tab/>
        <w:t>Any financing of the project may be in such amounts and upon such terms and conditions as may be determined by the department and a private entity in the partnership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450.</w:t>
      </w:r>
      <w:r>
        <w:rPr>
          <w:u w:color="000000" w:themeColor="text1"/>
        </w:rPr>
        <w:tab/>
        <w:t>The department may exercise the power of eminent domain to acquire property, rights</w:t>
      </w:r>
      <w:r>
        <w:rPr>
          <w:rFonts w:eastAsia="Times New Roman"/>
          <w:u w:color="000000" w:themeColor="text1"/>
        </w:rPr>
        <w:noBreakHyphen/>
      </w:r>
      <w:r>
        <w:rPr>
          <w:u w:color="000000" w:themeColor="text1"/>
        </w:rPr>
        <w:t>of</w:t>
      </w:r>
      <w:r>
        <w:rPr>
          <w:rFonts w:eastAsia="Times New Roman"/>
          <w:u w:color="000000" w:themeColor="text1"/>
        </w:rPr>
        <w:noBreakHyphen/>
      </w:r>
      <w:r>
        <w:rPr>
          <w:u w:color="000000" w:themeColor="text1"/>
        </w:rPr>
        <w:t>way or other rights in property for transportation projects that are part of a public</w:t>
      </w:r>
      <w:r>
        <w:rPr>
          <w:u w:color="000000" w:themeColor="text1"/>
        </w:rPr>
        <w:noBreakHyphen/>
        <w:t>private initiative.  Fee simple title to such property shall be held by and in the name of the department.  Any transportation facility operated by a private entity pursuant to a partnership agreement under the terms of this article must be open for public use and enjoyment.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460.</w:t>
      </w:r>
      <w:r>
        <w:rPr>
          <w:rFonts w:eastAsia="Times New Roman"/>
          <w:u w:color="000000" w:themeColor="text1"/>
        </w:rPr>
        <w:tab/>
        <w:t>(A)</w:t>
      </w:r>
      <w:r>
        <w:rPr>
          <w:rFonts w:eastAsia="Times New Roman"/>
          <w:u w:color="000000" w:themeColor="text1"/>
        </w:rPr>
        <w:tab/>
        <w:t>All state law enforcement officers and law enforcement officers of an affected jurisdiction shall have the same powers and jurisdiction within the limits of a transportation facility that is the subject of a public</w:t>
      </w:r>
      <w:r>
        <w:rPr>
          <w:rFonts w:eastAsia="Times New Roman"/>
          <w:u w:color="000000" w:themeColor="text1"/>
        </w:rPr>
        <w:noBreakHyphen/>
        <w:t>private initiative  as they have in their respective areas of jurisdiction and shall have access to the transportation facility that is the subject of a public</w:t>
      </w:r>
      <w:r>
        <w:rPr>
          <w:rFonts w:eastAsia="Times New Roman"/>
          <w:u w:color="000000" w:themeColor="text1"/>
        </w:rPr>
        <w:noBreakHyphen/>
        <w:t>private initiative  at any time for the purpose of exercising those powers and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traffic and motor vehicle laws of the State or, if applicable, any affected jurisdiction shall be the same on a transportation facility that is the subject of a public</w:t>
      </w:r>
      <w:r>
        <w:rPr>
          <w:rFonts w:eastAsia="Times New Roman"/>
          <w:u w:color="000000" w:themeColor="text1"/>
        </w:rPr>
        <w:noBreakHyphen/>
        <w:t>private initiative as those laws applied to conduct on similar transportation facilities in the State or affected area.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Punishment for violations of traffic and motor vehicle laws of the State or, if applicable, any affected area on a transportation facility that is the subject of a public</w:t>
      </w:r>
      <w:r>
        <w:rPr>
          <w:rFonts w:eastAsia="Times New Roman"/>
          <w:u w:color="000000" w:themeColor="text1"/>
        </w:rPr>
        <w:noBreakHyphen/>
        <w:t>private initiative  shall be as prescribed by law for conduct occurring on similar transportation facilities in the State or local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Collection of user fees by the private entity may be made pursuant to Article 9,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470.</w:t>
      </w:r>
      <w:r>
        <w:rPr>
          <w:u w:color="000000" w:themeColor="text1"/>
        </w:rPr>
        <w:tab/>
        <w:t>(A)</w:t>
      </w:r>
      <w:r>
        <w:rPr>
          <w:u w:color="000000" w:themeColor="text1"/>
        </w:rPr>
        <w:tab/>
        <w:t>Partnership agreements may contain provisions that require private entities to obtain appropriate errors and omissions insurance to cover architectural and engineering services.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operations period surety bonds that secure the performance of the private entity’s operations and maintenance obligations;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letters of credit in an amount appropriate to cover the cost of the department preventing transportation infrastructure service interruptions for a period of up to twelve months;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shall require appropriate performance guarantees and security and appropriate payment bonds for the protection of persons supplying labor and materials to projects subject to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480.</w:t>
      </w:r>
      <w:r>
        <w:rPr>
          <w:u w:color="000000" w:themeColor="text1"/>
        </w:rPr>
        <w:tab/>
        <w:t>An operator under this article and any utility whose facility is to be crossed or relocated shall cooperate fully in planning and arranging the manner of the crossing or relocation of the utility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490.</w:t>
      </w:r>
      <w:r>
        <w:rPr>
          <w:rFonts w:eastAsia="Times New Roman"/>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w:t>
      </w:r>
      <w:r>
        <w:rPr>
          <w:rFonts w:eastAsia="Times New Roman"/>
          <w:u w:color="000000" w:themeColor="text1"/>
        </w:rPr>
        <w:noBreakHyphen/>
        <w:t>binding alternative dispute resolution.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500.</w:t>
      </w:r>
      <w:r>
        <w:rPr>
          <w:rFonts w:eastAsia="Times New Roman"/>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510.</w:t>
      </w:r>
      <w:r>
        <w:rPr>
          <w:rFonts w:eastAsia="Times New Roman"/>
          <w:u w:color="000000" w:themeColor="text1"/>
        </w:rPr>
        <w:tab/>
      </w:r>
      <w:r>
        <w:rPr>
          <w:rFonts w:eastAsia="Times New Roman"/>
          <w:szCs w:val="24"/>
          <w:u w:color="000000" w:themeColor="text1"/>
        </w:rPr>
        <w:t xml:space="preserve">The department may </w:t>
      </w:r>
      <w:r>
        <w:rPr>
          <w:rFonts w:eastAsia="Times New Roman"/>
          <w:bCs/>
          <w:szCs w:val="24"/>
          <w:u w:color="000000" w:themeColor="text1"/>
        </w:rPr>
        <w:t>employ or contract with consultants and other specialists</w:t>
      </w:r>
      <w:r>
        <w:rPr>
          <w:rFonts w:eastAsia="Times New Roman"/>
          <w:szCs w:val="24"/>
          <w:u w:color="000000" w:themeColor="text1"/>
        </w:rPr>
        <w:t xml:space="preserve"> as may be necessary to carry out the duties and functions of this article.  Any consultants or specialists, including the independent financial consultant, retained by the department are deemed to be public employees for the purposes of the conflict of interest provisions contained Chapter 13, Title 8.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Pr>
          <w:rFonts w:eastAsia="Times New Roman"/>
          <w:szCs w:val="18"/>
        </w:rPr>
        <w:tab/>
        <w:t>Section 57</w:t>
      </w:r>
      <w:r>
        <w:rPr>
          <w:rFonts w:eastAsia="Times New Roman"/>
          <w:szCs w:val="18"/>
        </w:rPr>
        <w:noBreakHyphen/>
        <w:t>3</w:t>
      </w:r>
      <w:r>
        <w:rPr>
          <w:rFonts w:eastAsia="Times New Roman"/>
          <w:szCs w:val="18"/>
        </w:rPr>
        <w:noBreakHyphen/>
        <w:t>520.</w:t>
      </w:r>
      <w:r>
        <w:rPr>
          <w:rFonts w:eastAsia="Times New Roman"/>
          <w:szCs w:val="18"/>
        </w:rPr>
        <w:tab/>
        <w:t>The department may adopt rules and regulations to carry out the provisions of this article as it deems necessary and appropriate.”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3.</w:t>
      </w:r>
      <w:r>
        <w:rPr>
          <w:rFonts w:eastAsia="Times New Roman"/>
          <w:u w:color="000000" w:themeColor="text1"/>
        </w:rPr>
        <w:tab/>
        <w:t>Chapter 3, Title 57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9</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Toll Roads, Use of Tolls, and Collection of Revenue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900.</w:t>
      </w:r>
      <w:r>
        <w:rPr>
          <w:u w:color="000000" w:themeColor="text1"/>
        </w:rPr>
        <w:tab/>
        <w:t>As used in this title, the following terms shall have the following meanings: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w:t>
      </w:r>
      <w:r>
        <w:rPr>
          <w:u w:color="000000" w:themeColor="text1"/>
        </w:rPr>
        <w:tab/>
        <w:t>‘Department’ shall mean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(2)</w:t>
      </w:r>
      <w:r>
        <w:rPr>
          <w:u w:color="000000" w:themeColor="text1"/>
        </w:rPr>
        <w:tab/>
        <w:t>‘Toll roads’ shall mean: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t>a turnpike project or facility, as defined in Article 9, Chapter 5, Title 57, constructed by the department pursuant to the provisions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t>a transportation facility constructed by the department under a partnership agreement on which a toll is charged pursuant to Section 57</w:t>
      </w:r>
      <w:r>
        <w:rPr>
          <w:u w:color="000000" w:themeColor="text1"/>
        </w:rPr>
        <w:noBreakHyphen/>
        <w:t>3</w:t>
      </w:r>
      <w:r>
        <w:rPr>
          <w:u w:color="000000" w:themeColor="text1"/>
        </w:rPr>
        <w:noBreakHyphen/>
        <w:t xml:space="preserve">200 as added by Part II, Section 128 of Act No. 497 of 1994; 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t>a transportation facility constructed by a private entity pursuant to the provisions of Article 3, Chapter 3, Title 57 on which a user fee is charged.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(3)</w:t>
      </w:r>
      <w:r>
        <w:rPr>
          <w:u w:color="000000" w:themeColor="text1"/>
        </w:rPr>
        <w:tab/>
        <w:t>‘Tolls’ shall mean the tolls, charges, or user fees imposed for the use of a toll road.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910.</w:t>
      </w:r>
      <w:r>
        <w:rPr>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920.</w:t>
      </w:r>
      <w:r>
        <w:rPr>
          <w:u w:color="000000" w:themeColor="text1"/>
        </w:rPr>
        <w:tab/>
        <w:t>Notwithstanding another provision of law, the department may impose and collect a toll on the proposed Interstate 73 corridor upon completion of this highway project.  This toll must not be imposed upon a state</w:t>
      </w:r>
      <w:r>
        <w:rPr>
          <w:u w:color="000000" w:themeColor="text1"/>
        </w:rPr>
        <w:noBreakHyphen/>
        <w:t>owned or district</w:t>
      </w:r>
      <w:r>
        <w:rPr>
          <w:u w:color="000000" w:themeColor="text1"/>
        </w:rPr>
        <w:noBreakHyphen/>
        <w:t>owned school bus, or authorized emergency vehicles as defined in Section 56</w:t>
      </w:r>
      <w:r>
        <w:rPr>
          <w:u w:color="000000" w:themeColor="text1"/>
        </w:rPr>
        <w:noBreakHyphen/>
        <w:t>5</w:t>
      </w:r>
      <w:r>
        <w:rPr>
          <w:u w:color="000000" w:themeColor="text1"/>
        </w:rPr>
        <w:noBreakHyphen/>
        <w:t>170.</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930.</w:t>
      </w:r>
      <w:r>
        <w:rPr>
          <w:rFonts w:eastAsia="Times New Roman"/>
          <w:u w:color="000000" w:themeColor="text1"/>
        </w:rPr>
        <w:tab/>
        <w:t>(A)</w:t>
      </w:r>
      <w:r>
        <w:rPr>
          <w:rFonts w:eastAsia="Times New Roman"/>
          <w:u w:color="000000" w:themeColor="text1"/>
        </w:rPr>
        <w:tab/>
        <w:t>For the purposes of this section, ‘costs associated with the toll road’ means the costs of acquisition, construction, improving, financing, refinancing, operating, maintaining, and the satisfaction of the obligations of any partnership agreement authorized pursuant</w:t>
      </w:r>
      <w:r>
        <w:rPr>
          <w:u w:color="000000" w:themeColor="text1"/>
        </w:rPr>
        <w:t xml:space="preserve"> to </w:t>
      </w:r>
      <w:r>
        <w:rPr>
          <w:rFonts w:eastAsia="Times New Roman"/>
          <w:u w:color="000000" w:themeColor="text1"/>
        </w:rPr>
        <w:t>Article 3, Title 3, Chapter 57.  Under no circumstances may a toll be collected for maintenance and operations on a road subject to a partnership agreement after the expiration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Tolls imposed and collected on a toll road must only be used to pay for the costs associated with that toll road.  The tolls collected on a toll road must be: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credited to the State Highway Fund to be used for payment of costs associated with the toll road;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retained and applied by the entity or entities developing the toll road pursuant to a partnership agreement authorized pursuant to </w:t>
      </w:r>
      <w:r>
        <w:rPr>
          <w:u w:color="000000" w:themeColor="text1"/>
        </w:rPr>
        <w:t>Section 57</w:t>
      </w:r>
      <w:r>
        <w:rPr>
          <w:u w:color="000000" w:themeColor="text1"/>
        </w:rPr>
        <w:noBreakHyphen/>
        <w:t>3</w:t>
      </w:r>
      <w:r>
        <w:rPr>
          <w:u w:color="000000" w:themeColor="text1"/>
        </w:rPr>
        <w:noBreakHyphen/>
        <w:t>200 as added by Part II, Section 128 of Act No. 497 of 1994</w:t>
      </w:r>
      <w:r>
        <w:rPr>
          <w:rFonts w:eastAsia="Times New Roman"/>
          <w:u w:color="000000" w:themeColor="text1"/>
        </w:rPr>
        <w:t xml:space="preserve"> or a partnership agreement authorized pursuant to </w:t>
      </w:r>
      <w:r>
        <w:rPr>
          <w:u w:color="000000" w:themeColor="text1"/>
        </w:rPr>
        <w:t>Article 3, Title 3, Chapter 57</w:t>
      </w:r>
      <w:r>
        <w:rPr>
          <w:rFonts w:eastAsia="Times New Roman"/>
          <w:u w:color="000000" w:themeColor="text1"/>
        </w:rPr>
        <w:t xml:space="preserve">; 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used to service bonded indebtedness for the toll road pursuant to Paragraph 9, Section 13, Article X of the South Carolina Constitution.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Upon repayment of the costs associated with the toll road, the toll charges shall cease.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Section 57</w:t>
      </w:r>
      <w:r>
        <w:rPr>
          <w:u w:color="000000" w:themeColor="text1"/>
        </w:rPr>
        <w:noBreakHyphen/>
        <w:t>3</w:t>
      </w:r>
      <w:r>
        <w:rPr>
          <w:u w:color="000000" w:themeColor="text1"/>
        </w:rPr>
        <w:noBreakHyphen/>
        <w:t>940.</w:t>
      </w:r>
      <w:r>
        <w:rPr>
          <w:u w:color="000000" w:themeColor="text1"/>
        </w:rPr>
        <w:tab/>
      </w:r>
      <w:r>
        <w:rPr>
          <w:rFonts w:eastAsia="Times New Roman"/>
          <w:szCs w:val="24"/>
          <w:u w:color="000000" w:themeColor="text1"/>
        </w:rPr>
        <w:t xml:space="preserve">Any person who uses any toll road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950.</w:t>
      </w:r>
      <w:r>
        <w:rPr>
          <w:rFonts w:eastAsia="Times New Roman"/>
          <w:u w:color="000000" w:themeColor="text1"/>
        </w:rPr>
        <w:tab/>
        <w:t>(A)</w:t>
      </w:r>
      <w:r>
        <w:rPr>
          <w:rFonts w:eastAsia="Times New Roman"/>
          <w:u w:color="000000" w:themeColor="text1"/>
        </w:rPr>
        <w:tab/>
        <w:t xml:space="preserve">For the purposes of this section only: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‘Agent’ means a public or private entity operating a toll road pursuant to an agreement with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‘Department’ shall mean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(6)</w:t>
      </w:r>
      <w:r>
        <w:rPr>
          <w:rFonts w:eastAsia="Times New Roman"/>
          <w:u w:color="000000" w:themeColor="text1"/>
        </w:rPr>
        <w:tab/>
        <w:t>‘Owner’ means a person or an entity who, at the time of a toll violation and with respect to the vehicle involved in the violation, is the registrant or co</w:t>
      </w:r>
      <w:r>
        <w:rPr>
          <w:rFonts w:eastAsia="Times New Roman"/>
          <w:u w:color="000000" w:themeColor="text1"/>
        </w:rPr>
        <w:noBreakHyphen/>
        <w:t xml:space="preserve">registrant of the vehicle with the South Carolina Department of Motor Vehicles or another state, territory, district, province, nation, or jurisdiction.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(7)</w:t>
      </w:r>
      <w:r>
        <w:rPr>
          <w:rFonts w:eastAsia="Times New Roman"/>
          <w:u w:color="000000" w:themeColor="text1"/>
        </w:rPr>
        <w:tab/>
        <w:t>‘Photo</w:t>
      </w:r>
      <w:r>
        <w:rPr>
          <w:rFonts w:eastAsia="Times New Roman"/>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(8)</w:t>
      </w:r>
      <w:r>
        <w:rPr>
          <w:rFonts w:eastAsia="Times New Roman"/>
          <w:u w:color="000000" w:themeColor="text1"/>
        </w:rPr>
        <w:tab/>
        <w:t xml:space="preserve">‘Toll violation’ means the passage of a vehicle through a toll collection point without payment of the required toll.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(9)</w:t>
      </w:r>
      <w:r>
        <w:rPr>
          <w:rFonts w:eastAsia="Times New Roman"/>
          <w:u w:color="000000" w:themeColor="text1"/>
        </w:rPr>
        <w:tab/>
        <w:t xml:space="preserve">‘Vehicle’ means a device in, upon, or by which a person or property is or may be transported or drawn upon a highway, except devices used exclusively upon stationary rails or tracks.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Pr>
          <w:rFonts w:eastAsia="Times New Roman"/>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 xml:space="preserve">The department or its agent may assess and collect administrative fees of: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not more than ten dollars for the first toll violation within a period of one year;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not more than twenty</w:t>
      </w:r>
      <w:r>
        <w:rPr>
          <w:rFonts w:eastAsia="Times New Roman"/>
          <w:u w:color="000000" w:themeColor="text1"/>
        </w:rPr>
        <w:noBreakHyphen/>
        <w:t xml:space="preserve">five dollars for each subsequent toll violation within a period of one year.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(E)</w:t>
      </w:r>
      <w:r>
        <w:rPr>
          <w:rFonts w:eastAsia="Times New Roman"/>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vehicle’s license plate has been transferred and deny the vehicle’s registration or re</w:t>
      </w:r>
      <w:r>
        <w:rPr>
          <w:rFonts w:eastAsia="Times New Roman"/>
          <w:u w:color="000000" w:themeColor="text1"/>
        </w:rPr>
        <w:noBreakHyphen/>
        <w:t>registration pursuant to Section 56</w:t>
      </w:r>
      <w:r>
        <w:rPr>
          <w:rFonts w:eastAsia="Times New Roman"/>
          <w:u w:color="000000" w:themeColor="text1"/>
        </w:rPr>
        <w:noBreakHyphen/>
        <w:t>3</w:t>
      </w:r>
      <w:r>
        <w:rPr>
          <w:rFonts w:eastAsia="Times New Roman"/>
          <w:u w:color="000000" w:themeColor="text1"/>
        </w:rPr>
        <w:noBreakHyphen/>
        <w:t>1335.  The suspension shall remain in effect until the judgment is satisfied and evidence of its satisfaction has been presented to the Department of Motor Vehicles and the department’s agent.  An owner or operator who has been convicted of a violation of Section 57</w:t>
      </w:r>
      <w:r>
        <w:rPr>
          <w:rFonts w:eastAsia="Times New Roman"/>
          <w:u w:color="000000" w:themeColor="text1"/>
        </w:rPr>
        <w:noBreakHyphen/>
        <w:t>3</w:t>
      </w:r>
      <w:r>
        <w:rPr>
          <w:rFonts w:eastAsia="Times New Roman"/>
          <w:u w:color="000000" w:themeColor="text1"/>
        </w:rPr>
        <w:noBreakHyphen/>
        <w:t xml:space="preserve">940 is not liable for the penalty imposed by this subsection.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an imposition of liability pursuant to this section must be based upon a preponderance of evidence submitted and is not a conviction as an operator pursuant to Section 57</w:t>
      </w:r>
      <w:r>
        <w:rPr>
          <w:rFonts w:eastAsia="Times New Roman"/>
          <w:u w:color="000000" w:themeColor="text1"/>
        </w:rPr>
        <w:noBreakHyphen/>
        <w:t>3</w:t>
      </w:r>
      <w:r>
        <w:rPr>
          <w:rFonts w:eastAsia="Times New Roman"/>
          <w:u w:color="000000" w:themeColor="text1"/>
        </w:rPr>
        <w:noBreakHyphen/>
        <w:t xml:space="preserve">940.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(G)</w:t>
      </w:r>
      <w:r>
        <w:rPr>
          <w:rFonts w:eastAsia="Times New Roman"/>
          <w:u w:color="000000" w:themeColor="text1"/>
        </w:rPr>
        <w:tab/>
        <w:t xml:space="preserve">The department or its agent shall send: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 ‘First Notice to Pay Toll’ to the owner or operator of a vehicle which, on one occasion in any twelve</w:t>
      </w:r>
      <w:r>
        <w:rPr>
          <w:rFonts w:eastAsia="Times New Roman"/>
          <w:u w:color="000000" w:themeColor="text1"/>
        </w:rPr>
        <w:noBreakHyphen/>
        <w:t xml:space="preserve">month period, is identified as having been involved in a toll violation.  The first notice must require payment to the department of the required toll, plus an administrative fee as provided for in subsection (D), within thirty days of the mailing of the notice;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 ‘Second Notice to Pay Toll’ to the owner or operator of a vehicle which is identified as having been involved in a second toll violation in a twelve</w:t>
      </w:r>
      <w:r>
        <w:rPr>
          <w:rFonts w:eastAsia="Times New Roman"/>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a ‘Failure to Pay Toll’ citation to the owner or operator of a vehicle which is identified as having been involved in a third toll violation in a twelve</w:t>
      </w:r>
      <w:r>
        <w:rPr>
          <w:rFonts w:eastAsia="Times New Roman"/>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u w:color="000000" w:themeColor="text1"/>
        </w:rPr>
        <w:noBreakHyphen/>
        <w:t>five dollars for each violation, within thirty days, or the recipient’s appearance in magistrate’s court of the county in which the violation occurred or the municipal court of the city in which the violation has occurred to contest the citation.  A ‘Failure to Pay Toll’ citation constitutes the summons and complaint for an action to recover the toll and all applicable fees allowed pursuant to this section;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notwithstanding another provision of law, the notices and citation required by subsection (G) by first</w:t>
      </w:r>
      <w:r>
        <w:rPr>
          <w:rFonts w:eastAsia="Times New Roman"/>
          <w:u w:color="000000" w:themeColor="text1"/>
        </w:rPr>
        <w:noBreakHyphen/>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the notices and citation required by this subsection must contain the following information: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 xml:space="preserve">the name and address of the person or entity alleged to be liable for a failure to pay a toll pursuant to this 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 xml:space="preserve">the registration number of the vehicle involved in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location where the toll violation took place;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 xml:space="preserve">the date and time of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the identification number of the photo</w:t>
      </w:r>
      <w:r>
        <w:rPr>
          <w:rFonts w:eastAsia="Times New Roman"/>
          <w:u w:color="000000" w:themeColor="text1"/>
        </w:rPr>
        <w:noBreakHyphen/>
        <w:t xml:space="preserve">monitoring system which recorded the violation or other document locator number;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information advising of the manner and time in which liability may be contested;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 xml:space="preserve">a warning advising that failure to contest liability in the manner and time provided in this section is an admission of liability;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 xml:space="preserve">information advising that failure to pay a toll may result in the suspension of vehicle registration and that a lien may be levied on the vehicle.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(H)</w:t>
      </w:r>
      <w:r>
        <w:rPr>
          <w:rFonts w:eastAsia="Times New Roman"/>
          <w:u w:color="000000" w:themeColor="text1"/>
        </w:rPr>
        <w:tab/>
        <w:t xml:space="preserve">If a vehicle owner receives a notice or citation pursuant to this section for a period during which the vehicle involved in the toll violation was: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u w:color="000000" w:themeColor="text1"/>
        </w:rPr>
        <w:noBreakHyphen/>
        <w:t>class mail to the department, its agent, or the magistrate’s court or the municipal court having jurisdiction of the citation within thirty days after receipt of the notices or citation, is sufficient;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(I)</w:t>
      </w:r>
      <w:r>
        <w:rPr>
          <w:rFonts w:eastAsia="Times New Roman"/>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(J)</w:t>
      </w:r>
      <w:r>
        <w:rPr>
          <w:rFonts w:eastAsia="Times New Roman"/>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(K)</w:t>
      </w:r>
      <w:r>
        <w:rPr>
          <w:rFonts w:eastAsia="Times New Roman"/>
          <w:u w:color="000000" w:themeColor="text1"/>
        </w:rPr>
        <w:tab/>
        <w:t>An owner of a vehicle is not liable for a penalty imposed pursuant to this section if the operator of the vehicle has been convicted of a violation of Section 57</w:t>
      </w:r>
      <w:r>
        <w:rPr>
          <w:rFonts w:eastAsia="Times New Roman"/>
          <w:u w:color="000000" w:themeColor="text1"/>
        </w:rPr>
        <w:noBreakHyphen/>
        <w:t>3</w:t>
      </w:r>
      <w:r>
        <w:rPr>
          <w:rFonts w:eastAsia="Times New Roman"/>
          <w:u w:color="000000" w:themeColor="text1"/>
        </w:rPr>
        <w:noBreakHyphen/>
        <w:t xml:space="preserve">940 for the same incident.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(L)</w:t>
      </w:r>
      <w:r>
        <w:rPr>
          <w:rFonts w:eastAsia="Times New Roman"/>
          <w:u w:color="000000" w:themeColor="text1"/>
        </w:rPr>
        <w:tab/>
        <w:t xml:space="preserve">Where electronic toll collection systems are utilized: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holder’s agreement.  The terms of the account holder’s agreement must be established by the department;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(M)</w:t>
      </w:r>
      <w:r>
        <w:rPr>
          <w:rFonts w:eastAsia="Times New Roman"/>
          <w:u w:color="000000" w:themeColor="text1"/>
        </w:rPr>
        <w:tab/>
        <w:t>Notwithstanding any other provision of law, school buses transporting school children for a school event and authorized emergency vehicles as defined in Section 57</w:t>
      </w:r>
      <w:r>
        <w:rPr>
          <w:rFonts w:eastAsia="Times New Roman"/>
          <w:u w:color="000000" w:themeColor="text1"/>
        </w:rPr>
        <w:noBreakHyphen/>
        <w:t>5</w:t>
      </w:r>
      <w:r>
        <w:rPr>
          <w:rFonts w:eastAsia="Times New Roman"/>
          <w:u w:color="000000" w:themeColor="text1"/>
        </w:rPr>
        <w:noBreakHyphen/>
        <w:t>170 shall be exempt from the payment of any tolls.”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18"/>
        </w:rPr>
        <w:t>SECTION</w:t>
      </w:r>
      <w:r>
        <w:rPr>
          <w:rFonts w:eastAsia="Times New Roman"/>
          <w:szCs w:val="18"/>
        </w:rPr>
        <w:tab/>
        <w:t>4.</w:t>
      </w:r>
      <w:r>
        <w:rPr>
          <w:rFonts w:eastAsia="Times New Roman"/>
          <w:szCs w:val="18"/>
        </w:rPr>
        <w:tab/>
      </w:r>
      <w:r>
        <w:rPr>
          <w:rFonts w:eastAsia="Times New Roman"/>
          <w:u w:color="000000" w:themeColor="text1"/>
        </w:rPr>
        <w:t>Chapter 35, Title 11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3075.</w:t>
      </w:r>
      <w:r>
        <w:rPr>
          <w:rFonts w:eastAsia="Times New Roman"/>
          <w:u w:color="000000" w:themeColor="text1"/>
        </w:rPr>
        <w:tab/>
      </w:r>
      <w:r>
        <w:rPr>
          <w:rFonts w:eastAsia="Times New Roman"/>
          <w:u w:color="000000" w:themeColor="text1"/>
        </w:rPr>
        <w:tab/>
        <w:t>(A)</w:t>
      </w:r>
      <w:r>
        <w:rPr>
          <w:rFonts w:eastAsia="Times New Roman"/>
          <w:u w:color="000000" w:themeColor="text1"/>
        </w:rPr>
        <w:tab/>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A procurement authorized pursuant to Article 3, Chapter 3, Title 57 is exempt from the following sections, and the regulations implementing these sections: Section 11</w:t>
      </w:r>
      <w:r>
        <w:rPr>
          <w:rFonts w:eastAsia="Times New Roman"/>
          <w:u w:color="000000" w:themeColor="text1"/>
        </w:rPr>
        <w:noBreakHyphen/>
        <w:t>35</w:t>
      </w:r>
      <w:r>
        <w:rPr>
          <w:rFonts w:eastAsia="Times New Roman"/>
          <w:u w:color="000000" w:themeColor="text1"/>
        </w:rPr>
        <w:noBreakHyphen/>
        <w:t>1530(8) (Negotiations), Section 11</w:t>
      </w:r>
      <w:r>
        <w:rPr>
          <w:rFonts w:eastAsia="Times New Roman"/>
          <w:u w:color="000000" w:themeColor="text1"/>
        </w:rPr>
        <w:noBreakHyphen/>
        <w:t>35</w:t>
      </w:r>
      <w:r>
        <w:rPr>
          <w:rFonts w:eastAsia="Times New Roman"/>
          <w:u w:color="000000" w:themeColor="text1"/>
        </w:rPr>
        <w:noBreakHyphen/>
        <w:t>2030 (Multi</w:t>
      </w:r>
      <w:r>
        <w:rPr>
          <w:rFonts w:eastAsia="Times New Roman"/>
          <w:u w:color="000000" w:themeColor="text1"/>
        </w:rPr>
        <w:noBreakHyphen/>
        <w:t>term Contracts), Section 11</w:t>
      </w:r>
      <w:r>
        <w:rPr>
          <w:rFonts w:eastAsia="Times New Roman"/>
          <w:u w:color="000000" w:themeColor="text1"/>
        </w:rPr>
        <w:noBreakHyphen/>
        <w:t>35</w:t>
      </w:r>
      <w:r>
        <w:rPr>
          <w:rFonts w:eastAsia="Times New Roman"/>
          <w:u w:color="000000" w:themeColor="text1"/>
        </w:rPr>
        <w:noBreakHyphen/>
        <w:t>3021 (Subcontractor Substitution), Section 11</w:t>
      </w:r>
      <w:r>
        <w:rPr>
          <w:rFonts w:eastAsia="Times New Roman"/>
          <w:u w:color="000000" w:themeColor="text1"/>
        </w:rPr>
        <w:noBreakHyphen/>
        <w:t>35</w:t>
      </w:r>
      <w:r>
        <w:rPr>
          <w:rFonts w:eastAsia="Times New Roman"/>
          <w:u w:color="000000" w:themeColor="text1"/>
        </w:rPr>
        <w:noBreakHyphen/>
        <w:t>3025 (Approval of architectural, 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3030 (Bond and Security), Section 11</w:t>
      </w:r>
      <w:r>
        <w:rPr>
          <w:rFonts w:eastAsia="Times New Roman"/>
          <w:u w:color="000000" w:themeColor="text1"/>
        </w:rPr>
        <w:noBreakHyphen/>
        <w:t>35</w:t>
      </w:r>
      <w:r>
        <w:rPr>
          <w:rFonts w:eastAsia="Times New Roman"/>
          <w:u w:color="000000" w:themeColor="text1"/>
        </w:rPr>
        <w:noBreakHyphen/>
        <w:t>3035 (Error and Omissions Insurance), Section 11</w:t>
      </w:r>
      <w:r>
        <w:rPr>
          <w:rFonts w:eastAsia="Times New Roman"/>
          <w:u w:color="000000" w:themeColor="text1"/>
        </w:rPr>
        <w:noBreakHyphen/>
        <w:t>35</w:t>
      </w:r>
      <w:r>
        <w:rPr>
          <w:rFonts w:eastAsia="Times New Roman"/>
          <w:u w:color="000000" w:themeColor="text1"/>
        </w:rPr>
        <w:noBreakHyphen/>
        <w:t>3037 (Other Forms of Security), Section 11</w:t>
      </w:r>
      <w:r>
        <w:rPr>
          <w:rFonts w:eastAsia="Times New Roman"/>
          <w:u w:color="000000" w:themeColor="text1"/>
        </w:rPr>
        <w:noBreakHyphen/>
        <w:t>35</w:t>
      </w:r>
      <w:r>
        <w:rPr>
          <w:rFonts w:eastAsia="Times New Roman"/>
          <w:u w:color="000000" w:themeColor="text1"/>
        </w:rPr>
        <w:noBreakHyphen/>
        <w:t>3060 (Fiscal Responsibility), Section 11</w:t>
      </w:r>
      <w:r>
        <w:rPr>
          <w:rFonts w:eastAsia="Times New Roman"/>
          <w:u w:color="000000" w:themeColor="text1"/>
        </w:rPr>
        <w:noBreakHyphen/>
        <w:t>35</w:t>
      </w:r>
      <w:r>
        <w:rPr>
          <w:rFonts w:eastAsia="Times New Roman"/>
          <w:u w:color="000000" w:themeColor="text1"/>
        </w:rPr>
        <w:noBreakHyphen/>
        <w:t>3070 (Approval of architectural, 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4230 (Authority to Resolve Contract and Breach of Contract Controversies), and Section 11</w:t>
      </w:r>
      <w:r>
        <w:rPr>
          <w:rFonts w:eastAsia="Times New Roman"/>
          <w:u w:color="000000" w:themeColor="text1"/>
        </w:rPr>
        <w:noBreakHyphen/>
        <w:t>35</w:t>
      </w:r>
      <w:r>
        <w:rPr>
          <w:rFonts w:eastAsia="Times New Roman"/>
          <w:u w:color="000000" w:themeColor="text1"/>
        </w:rPr>
        <w:noBreakHyphen/>
        <w:t>4320 (Contract Controversies).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 xml:space="preserve">A procurement authorized pursuant to Article 3, Chapter 3, Title 57 may utilize expanded discussions and proposal revisions as provided in this subsection.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Expanded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Pr>
          <w:rFonts w:eastAsia="Times New Roman"/>
          <w:u w:color="000000" w:themeColor="text1"/>
        </w:rPr>
        <w:noBreakHyphen/>
        <w:t>and</w:t>
      </w:r>
      <w:r>
        <w:rPr>
          <w:rFonts w:eastAsia="Times New Roman"/>
          <w:u w:color="000000" w:themeColor="text1"/>
        </w:rPr>
        <w:noBreakHyphen/>
        <w:t>take, and may apply to price, schedule, technical requirements, type of contract, or other terms of a proposed contract.  Expanded discussions are tailored to each offeror’s proposal.  If the governmental body elects to conduct expanded discussions, such discussions must be conducted with each offeror.  The primary objective of expanded discussions is to maximize the governmental body’s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shall control all exchanges.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At a minimum, the procurement officer must, subject to </w:t>
      </w:r>
      <w:r w:rsidR="008905EE">
        <w:rPr>
          <w:rFonts w:eastAsia="Times New Roman"/>
          <w:u w:color="000000" w:themeColor="text1"/>
        </w:rPr>
        <w:t xml:space="preserve">subsection </w:t>
      </w:r>
      <w:r>
        <w:rPr>
          <w:rFonts w:eastAsia="Times New Roman"/>
          <w:u w:color="000000" w:themeColor="text1"/>
        </w:rPr>
        <w:t>(3) of this section, indicate to, or discuss with, each offeror still being considered for award, deficiencies, significant weaknesses, and adverse past performance information.  The procurement officer also is encouraged to discuss other aspects of the offeror’s proposal that could, in the opinion of the procurement officer, be altered or explained to enhance materially the proposal’s potential for award.  However, the procurement officer is not required to discuss every area where the proposal could be improved.  The scope and extent of discussions are a matter of procurement officer judgment.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Government personnel involved in the acquisition shall not engage in conduct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favors one offeror over another;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reveals an offeror’s technical solution, including unique technology, innovative and unique uses of commercial items, or any information that would compromise an offeror’s intellectual property to another offeror;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reveals an offeror’s price without that offeror’s permission.  However, the procurement officer may inform an offeror that its price is considered by the governmental body to be too high, or too low, and reveal the results of the analysis supporting that conclusion.  It is also permissible, at the governmental body’s discretion, to indicate to all offerors the cost or price that the governmental body’s price analysis, market research, and other reviews have identified as reasonable;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reveals the names of individuals providing reference information about an offeror’s past performance;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knowingly furnishes source selection information, as defined by regulation.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The procurement officer may request or allow proposal revisions to clarify and document understandings reached during negotiations.  At the conclusion of expanded discussions, each offeror shall be given an opportunity to submit a final proposal revision, including any revisions necessary to address any changes made to the solicitation.  The procurement officer is required to establish a common cut</w:t>
      </w:r>
      <w:r>
        <w:rPr>
          <w:rFonts w:eastAsia="Times New Roman"/>
          <w:u w:color="000000" w:themeColor="text1"/>
        </w:rPr>
        <w:noBreakHyphen/>
        <w:t>off date only for receipt of final proposal revisions.  Requests for final proposal revisions shall advise offerors that the final proposal revisions shall be in writing and that the government intends to make award without obtaining further revisions.”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5.</w:t>
      </w: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710(1)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t>“(1)</w:t>
      </w:r>
      <w:r>
        <w:rPr>
          <w:rFonts w:eastAsia="Times New Roman"/>
          <w:u w:color="000000" w:themeColor="text1"/>
        </w:rPr>
        <w:tab/>
      </w:r>
      <w:r>
        <w:rPr>
          <w:rFonts w:eastAsia="Times New Roman"/>
          <w:u w:val="single" w:color="000000" w:themeColor="text1"/>
        </w:rPr>
        <w:t>except as provided in Section 11</w:t>
      </w:r>
      <w:r>
        <w:rPr>
          <w:rFonts w:eastAsia="Times New Roman"/>
          <w:u w:val="single" w:color="000000" w:themeColor="text1"/>
        </w:rPr>
        <w:noBreakHyphen/>
        <w:t>35</w:t>
      </w:r>
      <w:r>
        <w:rPr>
          <w:rFonts w:eastAsia="Times New Roman"/>
          <w:u w:val="single" w:color="000000" w:themeColor="text1"/>
        </w:rPr>
        <w:noBreakHyphen/>
        <w:t>3075,</w:t>
      </w:r>
      <w:r>
        <w:rPr>
          <w:rFonts w:eastAsia="Times New Roman"/>
          <w:u w:color="000000" w:themeColor="text1"/>
        </w:rPr>
        <w:t xml:space="preserve"> t</w:t>
      </w:r>
      <w:r>
        <w:t>he construction, maintenance, and repair of bridges, highways, and roads; vehicle and road equipment maintenance and repair; and other emergency</w:t>
      </w:r>
      <w:r>
        <w:noBreakHyphen/>
        <w:t>type parts or equipment utilized by the Department of Transportation or the Department of Public Safety;”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r>
        <w:rPr>
          <w:rFonts w:eastAsia="Times New Roman"/>
          <w:u w:color="000000" w:themeColor="text1"/>
        </w:rPr>
        <w:t>SECTION</w:t>
      </w:r>
      <w:r>
        <w:rPr>
          <w:rFonts w:eastAsia="Times New Roman"/>
          <w:u w:color="000000" w:themeColor="text1"/>
        </w:rPr>
        <w:tab/>
        <w:t>6.</w:t>
      </w:r>
      <w:r>
        <w:rPr>
          <w:rFonts w:eastAsia="Times New Roman"/>
          <w:u w:color="000000" w:themeColor="text1"/>
        </w:rPr>
        <w:tab/>
      </w:r>
      <w:r>
        <w:rPr>
          <w:rFonts w:eastAsia="MS Mincho"/>
          <w:szCs w:val="20"/>
          <w:u w:color="000000" w:themeColor="text1"/>
        </w:rPr>
        <w:t>Section 11</w:t>
      </w:r>
      <w:r>
        <w:rPr>
          <w:rFonts w:eastAsia="MS Mincho"/>
          <w:szCs w:val="20"/>
          <w:u w:color="000000" w:themeColor="text1"/>
        </w:rPr>
        <w:noBreakHyphen/>
        <w:t>35</w:t>
      </w:r>
      <w:r>
        <w:rPr>
          <w:rFonts w:eastAsia="MS Mincho"/>
          <w:szCs w:val="20"/>
          <w:u w:color="000000" w:themeColor="text1"/>
        </w:rPr>
        <w:noBreakHyphen/>
        <w:t>40(3)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MS Mincho"/>
          <w:szCs w:val="20"/>
          <w:u w:color="000000" w:themeColor="text1"/>
        </w:rPr>
        <w:tab/>
        <w:t>“(3)</w:t>
      </w:r>
      <w:r>
        <w:rPr>
          <w:rFonts w:eastAsia="MS Mincho"/>
          <w:szCs w:val="20"/>
          <w:u w:color="000000" w:themeColor="text1"/>
        </w:rPr>
        <w:tab/>
      </w:r>
      <w:r>
        <w:rPr>
          <w:rFonts w:eastAsia="Times New Roman"/>
          <w:szCs w:val="20"/>
          <w:u w:color="000000" w:themeColor="text1"/>
        </w:rPr>
        <w:t>Compliance with Federal Requirements.  Where a procurement involves the expenditure of federal assistance</w:t>
      </w:r>
      <w:r>
        <w:rPr>
          <w:rFonts w:eastAsia="Times New Roman"/>
          <w:szCs w:val="20"/>
          <w:u w:val="single" w:color="000000" w:themeColor="text1"/>
        </w:rPr>
        <w:t>, grant,</w:t>
      </w:r>
      <w:r>
        <w:rPr>
          <w:rFonts w:eastAsia="Times New Roman"/>
          <w:szCs w:val="20"/>
          <w:u w:color="000000" w:themeColor="text1"/>
        </w:rPr>
        <w:t xml:space="preserve"> or contract funds, the governmental body </w:t>
      </w:r>
      <w:r>
        <w:rPr>
          <w:rFonts w:eastAsia="Times New Roman"/>
          <w:strike/>
          <w:szCs w:val="20"/>
          <w:u w:color="000000" w:themeColor="text1"/>
        </w:rPr>
        <w:t>shall</w:t>
      </w:r>
      <w:r>
        <w:rPr>
          <w:rFonts w:eastAsia="Times New Roman"/>
          <w:szCs w:val="20"/>
          <w:u w:color="000000" w:themeColor="text1"/>
        </w:rPr>
        <w:t xml:space="preserve"> also </w:t>
      </w:r>
      <w:r>
        <w:rPr>
          <w:rFonts w:eastAsia="Times New Roman"/>
          <w:szCs w:val="20"/>
          <w:u w:val="single" w:color="000000" w:themeColor="text1"/>
        </w:rPr>
        <w:t>shall</w:t>
      </w:r>
      <w:r>
        <w:rPr>
          <w:rFonts w:eastAsia="Times New Roman"/>
          <w:szCs w:val="20"/>
          <w:u w:color="000000" w:themeColor="text1"/>
        </w:rPr>
        <w:t xml:space="preserve"> comply with </w:t>
      </w:r>
      <w:r>
        <w:rPr>
          <w:rFonts w:eastAsia="Times New Roman"/>
          <w:strike/>
          <w:szCs w:val="20"/>
          <w:u w:color="000000" w:themeColor="text1"/>
        </w:rPr>
        <w:t>such</w:t>
      </w:r>
      <w:r>
        <w:rPr>
          <w:rFonts w:eastAsia="Times New Roman"/>
          <w:szCs w:val="20"/>
          <w:u w:color="000000" w:themeColor="text1"/>
        </w:rPr>
        <w:t xml:space="preserve"> federal </w:t>
      </w:r>
      <w:r>
        <w:rPr>
          <w:rFonts w:eastAsia="Times New Roman"/>
          <w:strike/>
          <w:szCs w:val="20"/>
          <w:u w:color="000000" w:themeColor="text1"/>
        </w:rPr>
        <w:t>law and</w:t>
      </w:r>
      <w:r>
        <w:rPr>
          <w:rFonts w:eastAsia="Times New Roman"/>
          <w:szCs w:val="20"/>
          <w:u w:color="000000" w:themeColor="text1"/>
        </w:rPr>
        <w:t xml:space="preserve"> </w:t>
      </w:r>
      <w:r>
        <w:rPr>
          <w:rFonts w:eastAsia="Times New Roman"/>
          <w:szCs w:val="20"/>
          <w:u w:val="single" w:color="000000" w:themeColor="text1"/>
        </w:rPr>
        <w:t>laws, including</w:t>
      </w:r>
      <w:r>
        <w:rPr>
          <w:rFonts w:eastAsia="Times New Roman"/>
          <w:szCs w:val="20"/>
          <w:u w:color="000000" w:themeColor="text1"/>
        </w:rPr>
        <w:t xml:space="preserve"> authorized regulations</w:t>
      </w:r>
      <w:r>
        <w:rPr>
          <w:rFonts w:eastAsia="Times New Roman"/>
          <w:szCs w:val="20"/>
          <w:u w:val="single" w:color="000000" w:themeColor="text1"/>
        </w:rPr>
        <w:t>,</w:t>
      </w:r>
      <w:r>
        <w:rPr>
          <w:rFonts w:eastAsia="Times New Roman"/>
          <w:szCs w:val="20"/>
          <w:u w:color="000000" w:themeColor="text1"/>
        </w:rPr>
        <w:t xml:space="preserve"> as are mandatorily applicable and which are not presently reflected in </w:t>
      </w:r>
      <w:r>
        <w:rPr>
          <w:rFonts w:eastAsia="Times New Roman"/>
          <w:strike/>
          <w:szCs w:val="20"/>
          <w:u w:color="000000" w:themeColor="text1"/>
        </w:rPr>
        <w:t>the</w:t>
      </w:r>
      <w:r>
        <w:rPr>
          <w:rFonts w:eastAsia="Times New Roman"/>
          <w:szCs w:val="20"/>
          <w:u w:color="000000" w:themeColor="text1"/>
        </w:rPr>
        <w:t xml:space="preserve"> </w:t>
      </w:r>
      <w:r>
        <w:rPr>
          <w:rFonts w:eastAsia="Times New Roman"/>
          <w:szCs w:val="20"/>
          <w:u w:val="single" w:color="000000" w:themeColor="text1"/>
        </w:rPr>
        <w:t>this</w:t>
      </w:r>
      <w:r>
        <w:rPr>
          <w:rFonts w:eastAsia="Times New Roman"/>
          <w:szCs w:val="20"/>
          <w:u w:color="000000" w:themeColor="text1"/>
        </w:rPr>
        <w:t xml:space="preserve"> code.  Notwithstanding, where federal assistance</w:t>
      </w:r>
      <w:r>
        <w:rPr>
          <w:rFonts w:eastAsia="Times New Roman"/>
          <w:szCs w:val="20"/>
          <w:u w:val="single" w:color="000000" w:themeColor="text1"/>
        </w:rPr>
        <w:t>, grant,</w:t>
      </w:r>
      <w:r>
        <w:rPr>
          <w:rFonts w:eastAsia="Times New Roman"/>
          <w:szCs w:val="20"/>
          <w:u w:color="000000" w:themeColor="text1"/>
        </w:rPr>
        <w:t xml:space="preserve"> or contract funds are used in a procurement by a governmental body as defined in Section 11</w:t>
      </w:r>
      <w:r>
        <w:rPr>
          <w:rFonts w:eastAsia="Times New Roman"/>
          <w:szCs w:val="20"/>
          <w:u w:color="000000" w:themeColor="text1"/>
        </w:rPr>
        <w:noBreakHyphen/>
        <w:t>35</w:t>
      </w:r>
      <w:r>
        <w:rPr>
          <w:rFonts w:eastAsia="Times New Roman"/>
          <w:szCs w:val="20"/>
          <w:u w:color="000000" w:themeColor="text1"/>
        </w:rPr>
        <w:noBreakHyphen/>
        <w:t xml:space="preserve">310(18), </w:t>
      </w:r>
      <w:r>
        <w:rPr>
          <w:rFonts w:eastAsia="Times New Roman"/>
          <w:szCs w:val="20"/>
          <w:u w:val="single" w:color="000000" w:themeColor="text1"/>
        </w:rPr>
        <w:t>this code, including any</w:t>
      </w:r>
      <w:r>
        <w:rPr>
          <w:rFonts w:eastAsia="Times New Roman"/>
          <w:szCs w:val="20"/>
          <w:u w:color="000000" w:themeColor="text1"/>
        </w:rPr>
        <w:t xml:space="preserve"> requirements that are more restrictive than federal requirements </w:t>
      </w:r>
      <w:r>
        <w:rPr>
          <w:rFonts w:eastAsia="Times New Roman"/>
          <w:strike/>
          <w:szCs w:val="20"/>
          <w:u w:color="000000" w:themeColor="text1"/>
        </w:rPr>
        <w:t>shall</w:t>
      </w:r>
      <w:r>
        <w:rPr>
          <w:rFonts w:eastAsia="Times New Roman"/>
          <w:szCs w:val="20"/>
          <w:u w:val="single" w:color="000000" w:themeColor="text1"/>
        </w:rPr>
        <w:t>, must</w:t>
      </w:r>
      <w:r>
        <w:rPr>
          <w:rFonts w:eastAsia="Times New Roman"/>
          <w:szCs w:val="20"/>
          <w:u w:color="000000" w:themeColor="text1"/>
        </w:rPr>
        <w:t xml:space="preserve"> be followed</w:t>
      </w:r>
      <w:r>
        <w:rPr>
          <w:rFonts w:eastAsia="Times New Roman"/>
          <w:szCs w:val="20"/>
          <w:u w:val="single" w:color="000000" w:themeColor="text1"/>
        </w:rPr>
        <w:t>, except to the extent such action would render the governmental body ineligible to receive federal funds whose receipt is conditioned on compliance with mandatorily applicable federal law</w:t>
      </w:r>
      <w:r>
        <w:rPr>
          <w:rFonts w:eastAsia="Times New Roman"/>
          <w:szCs w:val="20"/>
          <w:u w:color="000000" w:themeColor="text1"/>
        </w:rPr>
        <w:t xml:space="preserve">.  </w:t>
      </w:r>
      <w:r>
        <w:rPr>
          <w:rFonts w:eastAsia="Times New Roman"/>
          <w:szCs w:val="20"/>
          <w:u w:val="single" w:color="000000" w:themeColor="text1"/>
        </w:rPr>
        <w:t>In those circumstances, the solicitation must identify and explain the impact of such federal laws on the procurement process, including any required deviation from this code.</w:t>
      </w:r>
      <w:r>
        <w:rPr>
          <w:rFonts w:eastAsia="Times New Roman"/>
          <w:szCs w:val="20"/>
          <w:u w:color="000000" w:themeColor="text1"/>
        </w:rPr>
        <w: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SECTION</w:t>
      </w:r>
      <w:r>
        <w:tab/>
        <w:t>7.</w:t>
      </w:r>
      <w:r>
        <w:tab/>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1625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1625.</w:t>
      </w:r>
      <w:r>
        <w:rPr>
          <w:rFonts w:eastAsia="Times New Roman"/>
          <w:u w:color="000000" w:themeColor="text1"/>
        </w:rPr>
        <w:tab/>
      </w:r>
      <w:r>
        <w:rPr>
          <w:rFonts w:eastAsia="Times New Roman"/>
          <w:szCs w:val="24"/>
        </w:rPr>
        <w:t>(A)</w:t>
      </w:r>
      <w:r>
        <w:rPr>
          <w:rFonts w:eastAsia="Times New Roman"/>
          <w:szCs w:val="24"/>
        </w:rPr>
        <w:tab/>
        <w:t>The department may award highway construction contracts using a design</w:t>
      </w:r>
      <w:r>
        <w:rPr>
          <w:rFonts w:eastAsia="Times New Roman"/>
          <w:szCs w:val="24"/>
        </w:rPr>
        <w:noBreakHyphen/>
        <w:t>build procedure.  A design</w:t>
      </w:r>
      <w:r>
        <w:rPr>
          <w:rFonts w:eastAsia="Times New Roman"/>
          <w:szCs w:val="24"/>
        </w:rPr>
        <w:noBreakHyphen/>
        <w:t xml:space="preserve">build contract means an agreement that provides for </w:t>
      </w:r>
      <w:r>
        <w:rPr>
          <w:rFonts w:eastAsia="Times New Roman"/>
          <w:szCs w:val="24"/>
          <w:u w:val="single"/>
        </w:rPr>
        <w:t>both</w:t>
      </w:r>
      <w:r>
        <w:rPr>
          <w:rFonts w:eastAsia="Times New Roman"/>
          <w:szCs w:val="24"/>
        </w:rPr>
        <w:t xml:space="preserve"> the design</w:t>
      </w:r>
      <w:r>
        <w:rPr>
          <w:rFonts w:eastAsia="Times New Roman"/>
          <w:strike/>
          <w:szCs w:val="24"/>
        </w:rPr>
        <w:t>, right</w:t>
      </w:r>
      <w:r>
        <w:rPr>
          <w:rFonts w:eastAsia="Times New Roman"/>
          <w:strike/>
          <w:szCs w:val="24"/>
        </w:rPr>
        <w:noBreakHyphen/>
        <w:t>of</w:t>
      </w:r>
      <w:r>
        <w:rPr>
          <w:rFonts w:eastAsia="Times New Roman"/>
          <w:strike/>
          <w:szCs w:val="24"/>
        </w:rPr>
        <w:noBreakHyphen/>
        <w:t>way acquisition,</w:t>
      </w:r>
      <w:r>
        <w:rPr>
          <w:rFonts w:eastAsia="Times New Roman"/>
          <w:szCs w:val="24"/>
        </w:rPr>
        <w:t xml:space="preserve"> and construction of a project by a single entity.  </w:t>
      </w:r>
      <w:r>
        <w:rPr>
          <w:rFonts w:eastAsia="Times New Roman"/>
          <w:strike/>
          <w:szCs w:val="24"/>
        </w:rPr>
        <w:t>The design</w:t>
      </w:r>
      <w:r>
        <w:rPr>
          <w:rFonts w:eastAsia="Times New Roman"/>
          <w:strike/>
          <w:szCs w:val="24"/>
        </w:rPr>
        <w:noBreakHyphen/>
        <w:t>build contract may also provide for the maintenance, operation, or financing of the project.  The agreement may be in the form of a design</w:t>
      </w:r>
      <w:r>
        <w:rPr>
          <w:rFonts w:eastAsia="Times New Roman"/>
          <w:strike/>
          <w:szCs w:val="24"/>
        </w:rPr>
        <w:noBreakHyphen/>
        <w:t>build contract, a franchise agreement, or any other form of contract approved by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Selection criteria shall include the cost of the project and may include contractor qualifications, time of completion, innovation, design and construction quality, design innovation, or other technical or quality related criteria.”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8.</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w:t>
      </w:r>
      <w:r>
        <w:rPr>
          <w:rFonts w:eastAsia="Times New Roman"/>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u w:val="single" w:color="000000" w:themeColor="text1"/>
        </w:rPr>
        <w:t>or improved</w:t>
      </w:r>
      <w:r>
        <w:rPr>
          <w:rFonts w:eastAsia="Times New Roman"/>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9.</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1320(2)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‘Turnpike facility’ means any express highway or limited access highway </w:t>
      </w:r>
      <w:r>
        <w:rPr>
          <w:rFonts w:eastAsia="Times New Roman"/>
          <w:u w:val="single" w:color="000000" w:themeColor="text1"/>
        </w:rPr>
        <w:t>or portion of it,</w:t>
      </w:r>
      <w:r>
        <w:rPr>
          <w:rFonts w:eastAsia="Times New Roman"/>
          <w:u w:color="000000" w:themeColor="text1"/>
        </w:rPr>
        <w:t xml:space="preserve"> constructed under the provisions of this article by the department, whether or not financed with turnpike bonds, including any bridge, tunnel, overpass, underpass, interchange, </w:t>
      </w:r>
      <w:r>
        <w:rPr>
          <w:rFonts w:eastAsia="Times New Roman"/>
          <w:u w:val="single" w:color="000000" w:themeColor="text1"/>
        </w:rPr>
        <w:t>additional lanes or capacity,</w:t>
      </w:r>
      <w:r>
        <w:rPr>
          <w:rFonts w:eastAsia="Times New Roman"/>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10.</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1330(1)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Pr>
          <w:rFonts w:eastAsia="Times New Roman"/>
          <w:strike/>
          <w:u w:color="000000" w:themeColor="text1"/>
        </w:rPr>
        <w:t>or in part</w:t>
      </w:r>
      <w:r>
        <w:rPr>
          <w:rFonts w:eastAsia="Times New Roman"/>
          <w:u w:color="000000" w:themeColor="text1"/>
        </w:rPr>
        <w:t xml:space="preserve"> by a local option sales and use tax as provided in Chapter 37 of Title 4.  The department may utilize funds available for the maintenance of the state highway system for the maintenance of any turnpike facility financed pursuant to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11.</w:t>
      </w:r>
      <w:r>
        <w:rPr>
          <w:rFonts w:eastAsia="Times New Roman"/>
          <w:u w:color="000000" w:themeColor="text1"/>
        </w:rPr>
        <w:tab/>
        <w:t>Section 40</w:t>
      </w:r>
      <w:r>
        <w:rPr>
          <w:rFonts w:eastAsia="Times New Roman"/>
          <w:u w:color="000000" w:themeColor="text1"/>
        </w:rPr>
        <w:noBreakHyphen/>
        <w:t>11</w:t>
      </w:r>
      <w:r>
        <w:rPr>
          <w:rFonts w:eastAsia="Times New Roman"/>
          <w:u w:color="000000" w:themeColor="text1"/>
        </w:rPr>
        <w:noBreakHyphen/>
        <w:t>360(A)(4)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t>“</w:t>
      </w:r>
      <w:r>
        <w:t>(4)</w:t>
      </w:r>
      <w:r>
        <w:tab/>
        <w:t xml:space="preserve">Contractors performing construction work for the South Carolina Department of Transportation pursuant to that department’s prequalification requirements </w:t>
      </w:r>
      <w:r>
        <w:rPr>
          <w:strike/>
        </w:rPr>
        <w:t>with the exception of public/private partnerships performing work pursuant to Section 57</w:t>
      </w:r>
      <w:r>
        <w:rPr>
          <w:strike/>
        </w:rPr>
        <w:noBreakHyphen/>
        <w:t>3</w:t>
      </w:r>
      <w:r>
        <w:rPr>
          <w:strike/>
        </w:rPr>
        <w:noBreakHyphen/>
        <w:t>200</w:t>
      </w:r>
      <w:r w:rsidR="008905EE">
        <w:t xml:space="preserve"> </w:t>
      </w:r>
      <w:r w:rsidR="008905EE">
        <w:rPr>
          <w:u w:val="single"/>
        </w:rPr>
        <w:t>or a procurement authorized pursuant to Article 3, Chapter 3, Title 57</w:t>
      </w:r>
      <w:r>
        <w: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57</w:t>
      </w:r>
      <w:r>
        <w:noBreakHyphen/>
        <w:t>5</w:t>
      </w:r>
      <w:r>
        <w:noBreakHyphen/>
        <w:t>1660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The provisions of this section do not apply to a procurement authorized pursuant to Article 3,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When the department utilizes the design</w:t>
      </w:r>
      <w:r>
        <w:noBreakHyphen/>
        <w:t>build delivery method authorized by Section 57</w:t>
      </w:r>
      <w:r>
        <w:noBreakHyphen/>
        <w:t>5</w:t>
      </w:r>
      <w:r>
        <w:noBreakHyphen/>
        <w:t>1625 for a highway construction project, the amount of the performance and indemnity bond and payment bonds required by this section shall relate only to the portion of the contract concerning construction.”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13.</w:t>
      </w:r>
      <w:r>
        <w:rPr>
          <w:rFonts w:eastAsia="Times New Roman"/>
          <w:u w:color="000000" w:themeColor="text1"/>
        </w:rPr>
        <w:tab/>
        <w:t>It is the intent of the General Assembly that public</w:t>
      </w:r>
      <w:r>
        <w:rPr>
          <w:rFonts w:eastAsia="Times New Roman"/>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14.</w:t>
      </w:r>
      <w:r>
        <w:rPr>
          <w:u w:color="000000" w:themeColor="text1"/>
        </w:rPr>
        <w:tab/>
        <w:t>The following sections of the 1976 Code are repealed: 12</w:t>
      </w:r>
      <w:r>
        <w:rPr>
          <w:u w:color="000000" w:themeColor="text1"/>
        </w:rPr>
        <w:noBreakHyphen/>
        <w:t>28</w:t>
      </w:r>
      <w:r>
        <w:rPr>
          <w:u w:color="000000" w:themeColor="text1"/>
        </w:rPr>
        <w:noBreakHyphen/>
        <w:t>2920, 57</w:t>
      </w:r>
      <w:r>
        <w:rPr>
          <w:u w:color="000000" w:themeColor="text1"/>
        </w:rPr>
        <w:noBreakHyphen/>
        <w:t>3</w:t>
      </w:r>
      <w:r>
        <w:rPr>
          <w:u w:color="000000" w:themeColor="text1"/>
        </w:rPr>
        <w:noBreakHyphen/>
        <w:t>200, 57</w:t>
      </w:r>
      <w:r>
        <w:rPr>
          <w:u w:color="000000" w:themeColor="text1"/>
        </w:rPr>
        <w:noBreakHyphen/>
        <w:t>3</w:t>
      </w:r>
      <w:r>
        <w:rPr>
          <w:u w:color="000000" w:themeColor="text1"/>
        </w:rPr>
        <w:noBreakHyphen/>
        <w:t>615, 57</w:t>
      </w:r>
      <w:r>
        <w:rPr>
          <w:u w:color="000000" w:themeColor="text1"/>
        </w:rPr>
        <w:noBreakHyphen/>
        <w:t>3</w:t>
      </w:r>
      <w:r>
        <w:rPr>
          <w:u w:color="000000" w:themeColor="text1"/>
        </w:rPr>
        <w:noBreakHyphen/>
        <w:t>618, 57</w:t>
      </w:r>
      <w:r>
        <w:rPr>
          <w:u w:color="000000" w:themeColor="text1"/>
        </w:rPr>
        <w:noBreakHyphen/>
        <w:t>5</w:t>
      </w:r>
      <w:r>
        <w:rPr>
          <w:u w:color="000000" w:themeColor="text1"/>
        </w:rPr>
        <w:noBreakHyphen/>
        <w:t>1490, and 57</w:t>
      </w:r>
      <w:r>
        <w:rPr>
          <w:u w:color="000000" w:themeColor="text1"/>
        </w:rPr>
        <w:noBreakHyphen/>
        <w:t>5</w:t>
      </w:r>
      <w:r>
        <w:rPr>
          <w:u w:color="000000" w:themeColor="text1"/>
        </w:rPr>
        <w:noBreakHyphen/>
        <w:t>1495.</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Times New Roman"/>
          <w:u w:color="000000" w:themeColor="text1"/>
        </w:rPr>
        <w:t>SECTION</w:t>
      </w:r>
      <w:r>
        <w:rPr>
          <w:rFonts w:eastAsia="Times New Roman"/>
          <w:u w:color="000000" w:themeColor="text1"/>
        </w:rPr>
        <w:tab/>
        <w:t>15.</w:t>
      </w:r>
      <w:r>
        <w:rPr>
          <w:rFonts w:eastAsia="Times New Roman"/>
          <w:u w:color="000000" w:themeColor="text1"/>
        </w:rPr>
        <w:tab/>
      </w:r>
      <w:r>
        <w:rPr>
          <w:rFonts w:eastAsia="Calibri"/>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22CE0" w:rsidRPr="00522CE0"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color="000000" w:themeColor="text1"/>
        </w:rPr>
        <w:t>SECTION</w:t>
      </w:r>
      <w:r>
        <w:rPr>
          <w:rFonts w:eastAsia="Times New Roman"/>
          <w:u w:color="000000" w:themeColor="text1"/>
        </w:rPr>
        <w:tab/>
        <w:t>16.</w:t>
      </w:r>
      <w:r>
        <w:rPr>
          <w:rFonts w:eastAsia="Times New Roman"/>
          <w:u w:color="000000" w:themeColor="text1"/>
        </w:rPr>
        <w:tab/>
        <w:t>This act takes effect upon approval by the Go</w:t>
      </w:r>
      <w:r>
        <w:rPr>
          <w:rFonts w:eastAsia="Times New Roman"/>
        </w:rPr>
        <w:t>vernor.</w:t>
      </w:r>
    </w:p>
    <w:p w:rsidR="002610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B3" w:rsidRDefault="002610B3" w:rsidP="00EE0406">
      <w:pPr>
        <w:suppressAutoHyphens/>
        <w:jc w:val="both"/>
        <w:rPr>
          <w:rFonts w:eastAsia="Times New Roman"/>
        </w:rPr>
      </w:pPr>
    </w:p>
    <w:sectPr w:rsidR="002610B3" w:rsidSect="00EE04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82D" w:rsidRDefault="00BA282D" w:rsidP="00522CE0">
      <w:r>
        <w:separator/>
      </w:r>
    </w:p>
  </w:endnote>
  <w:endnote w:type="continuationSeparator" w:id="0">
    <w:p w:rsidR="00BA282D" w:rsidRDefault="00BA28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7B8CB1-34A9-42DE-8367-433F38356E57}"/>
    <w:embedBold r:id="rId2" w:fontKey="{7D5BDB9B-3CED-4870-BC8C-65B8907CE78D}"/>
  </w:font>
  <w:font w:name="Calibri">
    <w:panose1 w:val="020F0502020204030204"/>
    <w:charset w:val="00"/>
    <w:family w:val="swiss"/>
    <w:pitch w:val="variable"/>
    <w:sig w:usb0="E10002FF" w:usb1="4000ACFF" w:usb2="00000009" w:usb3="00000000" w:csb0="0000019F" w:csb1="00000000"/>
    <w:embedRegular r:id="rId3" w:fontKey="{B1D877E3-1E5C-415E-A5BA-14E6CF3FEB0E}"/>
    <w:embedBold r:id="rId4" w:fontKey="{06C7392D-0181-448C-9D89-F2B9BD39D87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D23BDDB8-D4A3-464B-9132-BCC173FFD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406" w:rsidRPr="002610B3" w:rsidRDefault="00EE0406" w:rsidP="002610B3">
    <w:pPr>
      <w:pStyle w:val="Footer"/>
      <w:tabs>
        <w:tab w:val="clear" w:pos="4680"/>
        <w:tab w:val="clear" w:pos="9360"/>
        <w:tab w:val="center" w:pos="2995"/>
      </w:tabs>
      <w:spacing w:before="120"/>
    </w:pPr>
    <w:r>
      <w:t>[103]</w:t>
    </w:r>
    <w:r>
      <w:tab/>
    </w:r>
    <w:r w:rsidR="00BA25B7">
      <w:fldChar w:fldCharType="begin"/>
    </w:r>
    <w:r w:rsidR="00BA25B7">
      <w:instrText xml:space="preserve"> PAGE  \* MERGEFORMAT </w:instrText>
    </w:r>
    <w:r w:rsidR="00BA25B7">
      <w:fldChar w:fldCharType="separate"/>
    </w:r>
    <w:r w:rsidR="00BA25B7">
      <w:rPr>
        <w:noProof/>
      </w:rPr>
      <w:t>1</w:t>
    </w:r>
    <w:r w:rsidR="00BA25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82D" w:rsidRDefault="00BA282D" w:rsidP="00522CE0">
      <w:r>
        <w:separator/>
      </w:r>
    </w:p>
  </w:footnote>
  <w:footnote w:type="continuationSeparator" w:id="0">
    <w:p w:rsidR="00BA282D" w:rsidRDefault="00BA28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10TIFF.KMM.LKG"/>
    <w:docVar w:name="CoverAttorneyInitials" w:val="KMM"/>
    <w:docVar w:name="CoverAttorneyLastName" w:val="Moffitt"/>
    <w:docVar w:name="CoverBillType" w:val="b"/>
    <w:docVar w:name="CoverSenator" w:val="LKG"/>
    <w:docVar w:name="dvBillNumber" w:val="103"/>
    <w:docVar w:name="dvBillNumberPrefix" w:val="S. "/>
    <w:docVar w:name="dvOriginalBody" w:val="Senate"/>
    <w:docVar w:name="fulldraftpath" w:val="L:\S-RES\LKG\010TIFF.KMM.LKG.DOCX"/>
    <w:docVar w:name="NameofBody" w:val="S"/>
    <w:docVar w:name="vgroup2" w:val="S-RES"/>
  </w:docVars>
  <w:rsids>
    <w:rsidRoot w:val="00763D0A"/>
    <w:rsid w:val="00010F22"/>
    <w:rsid w:val="00042AC1"/>
    <w:rsid w:val="00046516"/>
    <w:rsid w:val="0007601D"/>
    <w:rsid w:val="000B0720"/>
    <w:rsid w:val="000B5EAF"/>
    <w:rsid w:val="000D1C54"/>
    <w:rsid w:val="00107A8A"/>
    <w:rsid w:val="00170561"/>
    <w:rsid w:val="00186AC9"/>
    <w:rsid w:val="00197DF1"/>
    <w:rsid w:val="001B3DD9"/>
    <w:rsid w:val="001B7E5D"/>
    <w:rsid w:val="001C0968"/>
    <w:rsid w:val="001D3BAC"/>
    <w:rsid w:val="00214B48"/>
    <w:rsid w:val="00215641"/>
    <w:rsid w:val="00245C4E"/>
    <w:rsid w:val="00246852"/>
    <w:rsid w:val="002610B3"/>
    <w:rsid w:val="0026167A"/>
    <w:rsid w:val="002B3826"/>
    <w:rsid w:val="002C1321"/>
    <w:rsid w:val="002C5896"/>
    <w:rsid w:val="002D3BED"/>
    <w:rsid w:val="002F331F"/>
    <w:rsid w:val="00307C2B"/>
    <w:rsid w:val="00383247"/>
    <w:rsid w:val="003C3827"/>
    <w:rsid w:val="003D6E2B"/>
    <w:rsid w:val="003E7597"/>
    <w:rsid w:val="00437F81"/>
    <w:rsid w:val="00450668"/>
    <w:rsid w:val="00493CDD"/>
    <w:rsid w:val="004952FA"/>
    <w:rsid w:val="004B6A22"/>
    <w:rsid w:val="004D7F37"/>
    <w:rsid w:val="004E1FFA"/>
    <w:rsid w:val="004F2A0B"/>
    <w:rsid w:val="00522CE0"/>
    <w:rsid w:val="00565148"/>
    <w:rsid w:val="00590ADD"/>
    <w:rsid w:val="00593361"/>
    <w:rsid w:val="005A4B43"/>
    <w:rsid w:val="005A5017"/>
    <w:rsid w:val="005A648C"/>
    <w:rsid w:val="005E46F1"/>
    <w:rsid w:val="005F1745"/>
    <w:rsid w:val="006375E9"/>
    <w:rsid w:val="0064211B"/>
    <w:rsid w:val="00657CF1"/>
    <w:rsid w:val="006B3F9B"/>
    <w:rsid w:val="006C74EA"/>
    <w:rsid w:val="007123FE"/>
    <w:rsid w:val="00720D40"/>
    <w:rsid w:val="007318D4"/>
    <w:rsid w:val="007407FA"/>
    <w:rsid w:val="007454A3"/>
    <w:rsid w:val="00762B4F"/>
    <w:rsid w:val="00763D0A"/>
    <w:rsid w:val="00765784"/>
    <w:rsid w:val="00765DCF"/>
    <w:rsid w:val="00793AF5"/>
    <w:rsid w:val="007A4390"/>
    <w:rsid w:val="007D4A96"/>
    <w:rsid w:val="007E5CB7"/>
    <w:rsid w:val="00825FFC"/>
    <w:rsid w:val="008314D2"/>
    <w:rsid w:val="008556DA"/>
    <w:rsid w:val="008752FF"/>
    <w:rsid w:val="008905EE"/>
    <w:rsid w:val="008A0214"/>
    <w:rsid w:val="008A5422"/>
    <w:rsid w:val="008B2F42"/>
    <w:rsid w:val="008E185F"/>
    <w:rsid w:val="008F023B"/>
    <w:rsid w:val="00904E16"/>
    <w:rsid w:val="009162B3"/>
    <w:rsid w:val="00927C62"/>
    <w:rsid w:val="00981EED"/>
    <w:rsid w:val="00983951"/>
    <w:rsid w:val="00984124"/>
    <w:rsid w:val="00984640"/>
    <w:rsid w:val="00995C37"/>
    <w:rsid w:val="009C118A"/>
    <w:rsid w:val="009F58DD"/>
    <w:rsid w:val="00A02011"/>
    <w:rsid w:val="00A05877"/>
    <w:rsid w:val="00A4011E"/>
    <w:rsid w:val="00A86015"/>
    <w:rsid w:val="00A9594E"/>
    <w:rsid w:val="00AE59C8"/>
    <w:rsid w:val="00AF13B4"/>
    <w:rsid w:val="00B10098"/>
    <w:rsid w:val="00B53385"/>
    <w:rsid w:val="00B5790D"/>
    <w:rsid w:val="00B945C5"/>
    <w:rsid w:val="00BA20EA"/>
    <w:rsid w:val="00BA25B7"/>
    <w:rsid w:val="00BA282D"/>
    <w:rsid w:val="00BA780E"/>
    <w:rsid w:val="00BB5AFC"/>
    <w:rsid w:val="00BC0A56"/>
    <w:rsid w:val="00C45366"/>
    <w:rsid w:val="00C57023"/>
    <w:rsid w:val="00C74052"/>
    <w:rsid w:val="00CA74E6"/>
    <w:rsid w:val="00CB187A"/>
    <w:rsid w:val="00CC0EC7"/>
    <w:rsid w:val="00CE1EAD"/>
    <w:rsid w:val="00CF2151"/>
    <w:rsid w:val="00D1088B"/>
    <w:rsid w:val="00D11A66"/>
    <w:rsid w:val="00D156D2"/>
    <w:rsid w:val="00D7668B"/>
    <w:rsid w:val="00D86943"/>
    <w:rsid w:val="00DA47B9"/>
    <w:rsid w:val="00E058D3"/>
    <w:rsid w:val="00E31757"/>
    <w:rsid w:val="00E61E9B"/>
    <w:rsid w:val="00E76AD9"/>
    <w:rsid w:val="00E91E2F"/>
    <w:rsid w:val="00EA279E"/>
    <w:rsid w:val="00EA3546"/>
    <w:rsid w:val="00EB47AE"/>
    <w:rsid w:val="00EC34E1"/>
    <w:rsid w:val="00EE0406"/>
    <w:rsid w:val="00EF6064"/>
    <w:rsid w:val="00F0234A"/>
    <w:rsid w:val="00F35482"/>
    <w:rsid w:val="00F37E6A"/>
    <w:rsid w:val="00F52959"/>
    <w:rsid w:val="00F55884"/>
    <w:rsid w:val="00F60F6F"/>
    <w:rsid w:val="00F63859"/>
    <w:rsid w:val="00F64CC5"/>
    <w:rsid w:val="00F65C1A"/>
    <w:rsid w:val="00FC0D36"/>
    <w:rsid w:val="00FE6467"/>
    <w:rsid w:val="00FF0EC3"/>
    <w:rsid w:val="00FF2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AB0398B6-1986-4378-BE50-4D92EFA9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0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8628</Words>
  <Characters>46845</Characters>
  <Application>Microsoft Office Word</Application>
  <DocSecurity>4</DocSecurity>
  <Lines>1086</Lines>
  <Paragraphs>228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 Department of Transportation - South Carolina Legislature Online</dc:title>
  <dc:subject/>
  <dc:creator>KenMoffitt</dc:creator>
  <cp:keywords/>
  <dc:description/>
  <cp:lastModifiedBy>N Cumfer</cp:lastModifiedBy>
  <cp:revision>2</cp:revision>
  <dcterms:created xsi:type="dcterms:W3CDTF">2014-11-21T20:26:00Z</dcterms:created>
  <dcterms:modified xsi:type="dcterms:W3CDTF">2014-11-21T20:26:00Z</dcterms:modified>
</cp:coreProperties>
</file>