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33B" w:rsidRDefault="00AE433B" w:rsidP="00AE433B">
      <w:pPr>
        <w:widowControl w:val="0"/>
        <w:jc w:val="center"/>
      </w:pPr>
      <w:bookmarkStart w:id="0" w:name="_GoBack"/>
      <w:bookmarkEnd w:id="0"/>
      <w:r w:rsidRPr="00AE433B">
        <w:rPr>
          <w:b/>
        </w:rPr>
        <w:t>South Carolina General Assembly</w:t>
      </w:r>
    </w:p>
    <w:p w:rsidR="00AE433B" w:rsidRDefault="00AE433B" w:rsidP="00AE433B">
      <w:pPr>
        <w:widowControl w:val="0"/>
        <w:jc w:val="center"/>
      </w:pPr>
      <w:r>
        <w:t>119th Session, 2011-2012</w:t>
      </w:r>
    </w:p>
    <w:p w:rsidR="00AE433B" w:rsidRDefault="00AE433B" w:rsidP="00AE433B">
      <w:pPr>
        <w:widowControl w:val="0"/>
        <w:jc w:val="left"/>
      </w:pPr>
    </w:p>
    <w:p w:rsidR="00AE433B" w:rsidRDefault="00AE433B" w:rsidP="00AE433B">
      <w:pPr>
        <w:widowControl w:val="0"/>
        <w:jc w:val="left"/>
        <w:rPr>
          <w:b/>
        </w:rPr>
      </w:pPr>
      <w:r w:rsidRPr="00AE433B">
        <w:rPr>
          <w:b/>
        </w:rPr>
        <w:t>S.</w:t>
      </w:r>
      <w:r>
        <w:rPr>
          <w:b/>
        </w:rPr>
        <w:t xml:space="preserve"> </w:t>
      </w:r>
      <w:r w:rsidRPr="00AE433B">
        <w:rPr>
          <w:b/>
        </w:rPr>
        <w:t>118</w:t>
      </w:r>
    </w:p>
    <w:p w:rsidR="00AE433B" w:rsidRDefault="00AE433B" w:rsidP="00AE433B">
      <w:pPr>
        <w:widowControl w:val="0"/>
        <w:jc w:val="left"/>
        <w:rPr>
          <w:b/>
        </w:rPr>
      </w:pPr>
    </w:p>
    <w:p w:rsidR="00AE433B" w:rsidRDefault="00AE433B" w:rsidP="00AE433B">
      <w:pPr>
        <w:widowControl w:val="0"/>
        <w:jc w:val="left"/>
      </w:pPr>
      <w:r w:rsidRPr="00AE433B">
        <w:rPr>
          <w:b/>
        </w:rPr>
        <w:t>STATUS INFORMATION</w:t>
      </w:r>
    </w:p>
    <w:p w:rsidR="00AE433B" w:rsidRDefault="00AE433B" w:rsidP="00AE433B">
      <w:pPr>
        <w:widowControl w:val="0"/>
        <w:jc w:val="left"/>
      </w:pPr>
    </w:p>
    <w:p w:rsidR="00AE433B" w:rsidRDefault="00AE433B" w:rsidP="00AE433B">
      <w:pPr>
        <w:widowControl w:val="0"/>
        <w:jc w:val="left"/>
      </w:pPr>
      <w:r>
        <w:t>Joint Resolution</w:t>
      </w:r>
    </w:p>
    <w:p w:rsidR="00AE433B" w:rsidRDefault="007A63F2" w:rsidP="00AE433B">
      <w:pPr>
        <w:widowControl w:val="0"/>
        <w:jc w:val="left"/>
      </w:pPr>
      <w:r>
        <w:t>Sponsors: Senators Campsen and Rose</w:t>
      </w:r>
    </w:p>
    <w:p w:rsidR="00AE433B" w:rsidRDefault="00AE433B" w:rsidP="00AE433B">
      <w:pPr>
        <w:widowControl w:val="0"/>
        <w:jc w:val="left"/>
      </w:pPr>
      <w:r>
        <w:t>Document Path: l:\council\bills\nbd\11067htc11.docx</w:t>
      </w:r>
    </w:p>
    <w:p w:rsidR="00AE433B" w:rsidRDefault="00AE433B" w:rsidP="00AE433B">
      <w:pPr>
        <w:widowControl w:val="0"/>
        <w:jc w:val="left"/>
      </w:pPr>
    </w:p>
    <w:p w:rsidR="0002541E" w:rsidRDefault="0002541E" w:rsidP="00AE433B">
      <w:pPr>
        <w:widowControl w:val="0"/>
        <w:jc w:val="left"/>
      </w:pPr>
      <w:r>
        <w:t>Introduced in the Senate on January 11, 2011</w:t>
      </w:r>
    </w:p>
    <w:p w:rsidR="0002541E" w:rsidRPr="0002541E" w:rsidRDefault="0002541E" w:rsidP="00AE433B">
      <w:pPr>
        <w:widowControl w:val="0"/>
        <w:jc w:val="left"/>
      </w:pPr>
      <w:r>
        <w:t xml:space="preserve">Currently residing in the Senate Committee on </w:t>
      </w:r>
      <w:r w:rsidRPr="0002541E">
        <w:rPr>
          <w:b/>
        </w:rPr>
        <w:t>Finance</w:t>
      </w:r>
    </w:p>
    <w:p w:rsidR="0002541E" w:rsidRDefault="0002541E" w:rsidP="00AE433B">
      <w:pPr>
        <w:widowControl w:val="0"/>
        <w:jc w:val="left"/>
      </w:pPr>
    </w:p>
    <w:p w:rsidR="00AE433B" w:rsidRDefault="00AE433B" w:rsidP="00AE433B">
      <w:pPr>
        <w:widowControl w:val="0"/>
        <w:jc w:val="left"/>
      </w:pPr>
      <w:r>
        <w:t xml:space="preserve">Summary: </w:t>
      </w:r>
      <w:r w:rsidR="001B45A6">
        <w:t>S.C. Economic Recovery Act</w:t>
      </w:r>
    </w:p>
    <w:p w:rsidR="00AE433B" w:rsidRDefault="00AE433B" w:rsidP="00AE433B">
      <w:pPr>
        <w:widowControl w:val="0"/>
        <w:jc w:val="left"/>
      </w:pPr>
    </w:p>
    <w:p w:rsidR="00AE433B" w:rsidRDefault="00AE433B" w:rsidP="00AE433B">
      <w:pPr>
        <w:widowControl w:val="0"/>
        <w:jc w:val="left"/>
      </w:pPr>
    </w:p>
    <w:p w:rsidR="00AE433B" w:rsidRDefault="00AE433B" w:rsidP="00AE433B">
      <w:pPr>
        <w:widowControl w:val="0"/>
        <w:tabs>
          <w:tab w:val="center" w:pos="590"/>
          <w:tab w:val="center" w:pos="1440"/>
          <w:tab w:val="left" w:pos="1872"/>
          <w:tab w:val="left" w:pos="9187"/>
        </w:tabs>
        <w:jc w:val="left"/>
      </w:pPr>
      <w:r w:rsidRPr="00AE433B">
        <w:rPr>
          <w:b/>
        </w:rPr>
        <w:t>HISTORY OF LEGISLATIVE ACTIONS</w:t>
      </w:r>
    </w:p>
    <w:p w:rsidR="00AE433B" w:rsidRDefault="00AE433B" w:rsidP="00AE433B">
      <w:pPr>
        <w:widowControl w:val="0"/>
        <w:tabs>
          <w:tab w:val="center" w:pos="590"/>
          <w:tab w:val="center" w:pos="1440"/>
          <w:tab w:val="left" w:pos="1872"/>
          <w:tab w:val="left" w:pos="9187"/>
        </w:tabs>
        <w:jc w:val="left"/>
      </w:pPr>
    </w:p>
    <w:p w:rsidR="00AE433B" w:rsidRPr="00AE433B" w:rsidRDefault="00AE433B" w:rsidP="00AE433B">
      <w:pPr>
        <w:widowControl w:val="0"/>
        <w:tabs>
          <w:tab w:val="center" w:pos="590"/>
          <w:tab w:val="center" w:pos="1440"/>
          <w:tab w:val="left" w:pos="1872"/>
          <w:tab w:val="left" w:pos="9187"/>
        </w:tabs>
        <w:jc w:val="left"/>
      </w:pPr>
      <w:r w:rsidRPr="00AE433B">
        <w:rPr>
          <w:u w:val="single"/>
        </w:rPr>
        <w:tab/>
        <w:t>Date</w:t>
      </w:r>
      <w:r w:rsidRPr="00AE433B">
        <w:rPr>
          <w:u w:val="single"/>
        </w:rPr>
        <w:tab/>
        <w:t>Body</w:t>
      </w:r>
      <w:r w:rsidRPr="00AE433B">
        <w:rPr>
          <w:u w:val="single"/>
        </w:rPr>
        <w:tab/>
        <w:t>Action Description with journal page number</w:t>
      </w:r>
      <w:r w:rsidRPr="00AE433B">
        <w:rPr>
          <w:u w:val="single"/>
        </w:rPr>
        <w:tab/>
      </w:r>
    </w:p>
    <w:p w:rsidR="0020082A" w:rsidRDefault="0020082A" w:rsidP="0020082A">
      <w:pPr>
        <w:widowControl w:val="0"/>
        <w:tabs>
          <w:tab w:val="right" w:pos="1008"/>
          <w:tab w:val="left" w:pos="1152"/>
          <w:tab w:val="left" w:pos="1872"/>
          <w:tab w:val="left" w:pos="9187"/>
        </w:tabs>
        <w:ind w:left="2088" w:hanging="2088"/>
        <w:jc w:val="left"/>
      </w:pPr>
      <w:r>
        <w:tab/>
        <w:t>12/1/2010</w:t>
      </w:r>
      <w:r>
        <w:tab/>
        <w:t>Senate</w:t>
      </w:r>
      <w:r>
        <w:tab/>
      </w:r>
      <w:r w:rsidRPr="00862FA5">
        <w:t>Prefiled</w:t>
      </w:r>
    </w:p>
    <w:p w:rsidR="0020082A" w:rsidRDefault="0020082A" w:rsidP="0020082A">
      <w:pPr>
        <w:widowControl w:val="0"/>
        <w:tabs>
          <w:tab w:val="right" w:pos="1008"/>
          <w:tab w:val="left" w:pos="1152"/>
          <w:tab w:val="left" w:pos="1872"/>
          <w:tab w:val="left" w:pos="9187"/>
        </w:tabs>
        <w:ind w:left="2088" w:hanging="2088"/>
        <w:jc w:val="left"/>
      </w:pPr>
      <w:r>
        <w:tab/>
        <w:t>12/1/2010</w:t>
      </w:r>
      <w:r>
        <w:tab/>
        <w:t>Senate</w:t>
      </w:r>
      <w:r>
        <w:tab/>
      </w:r>
      <w:r w:rsidRPr="00862FA5">
        <w:t xml:space="preserve">Referred to Committee on </w:t>
      </w:r>
      <w:r w:rsidRPr="00862FA5">
        <w:rPr>
          <w:b/>
        </w:rPr>
        <w:t>Finance</w:t>
      </w:r>
    </w:p>
    <w:p w:rsidR="0020082A" w:rsidRDefault="0020082A" w:rsidP="0020082A">
      <w:pPr>
        <w:widowControl w:val="0"/>
        <w:tabs>
          <w:tab w:val="right" w:pos="1008"/>
          <w:tab w:val="left" w:pos="1152"/>
          <w:tab w:val="left" w:pos="1872"/>
          <w:tab w:val="left" w:pos="9187"/>
        </w:tabs>
        <w:ind w:left="2088" w:hanging="2088"/>
        <w:jc w:val="left"/>
      </w:pPr>
      <w:r>
        <w:tab/>
        <w:t>1/11/2011</w:t>
      </w:r>
      <w:r>
        <w:tab/>
        <w:t>Senate</w:t>
      </w:r>
      <w:r>
        <w:tab/>
      </w:r>
      <w:r w:rsidRPr="00862FA5">
        <w:t>Introduced and read first time (</w:t>
      </w:r>
      <w:hyperlink r:id="rId7" w:history="1">
        <w:r w:rsidRPr="00862FA5">
          <w:rPr>
            <w:rStyle w:val="Hyperlink"/>
          </w:rPr>
          <w:t>Senate Journal</w:t>
        </w:r>
        <w:r w:rsidRPr="00862FA5">
          <w:rPr>
            <w:rStyle w:val="Hyperlink"/>
          </w:rPr>
          <w:noBreakHyphen/>
          <w:t>page 57</w:t>
        </w:r>
      </w:hyperlink>
      <w:r w:rsidRPr="00862FA5">
        <w:t>)</w:t>
      </w:r>
    </w:p>
    <w:p w:rsidR="0020082A" w:rsidRDefault="0020082A" w:rsidP="0020082A">
      <w:pPr>
        <w:widowControl w:val="0"/>
        <w:tabs>
          <w:tab w:val="right" w:pos="1008"/>
          <w:tab w:val="left" w:pos="1152"/>
          <w:tab w:val="left" w:pos="1872"/>
          <w:tab w:val="left" w:pos="9187"/>
        </w:tabs>
        <w:ind w:left="2088" w:hanging="2088"/>
        <w:jc w:val="left"/>
      </w:pPr>
      <w:r>
        <w:tab/>
        <w:t>1/11/2011</w:t>
      </w:r>
      <w:r>
        <w:tab/>
        <w:t>Senate</w:t>
      </w:r>
      <w:r>
        <w:tab/>
      </w:r>
      <w:r w:rsidRPr="00862FA5">
        <w:t xml:space="preserve">Referred </w:t>
      </w:r>
      <w:r>
        <w:t xml:space="preserve">to Committee on </w:t>
      </w:r>
      <w:r w:rsidRPr="00862FA5">
        <w:rPr>
          <w:b/>
        </w:rPr>
        <w:t>Finance</w:t>
      </w:r>
      <w:r>
        <w:t xml:space="preserve"> (</w:t>
      </w:r>
      <w:hyperlink r:id="rId8" w:history="1">
        <w:r w:rsidRPr="00862FA5">
          <w:rPr>
            <w:rStyle w:val="Hyperlink"/>
          </w:rPr>
          <w:t>Senate Journal</w:t>
        </w:r>
        <w:r w:rsidRPr="00862FA5">
          <w:rPr>
            <w:rStyle w:val="Hyperlink"/>
          </w:rPr>
          <w:noBreakHyphen/>
          <w:t>page 57</w:t>
        </w:r>
      </w:hyperlink>
      <w:r w:rsidRPr="00862FA5">
        <w:t>)</w:t>
      </w:r>
    </w:p>
    <w:p w:rsidR="0020082A" w:rsidRDefault="0020082A" w:rsidP="0020082A">
      <w:pPr>
        <w:widowControl w:val="0"/>
        <w:tabs>
          <w:tab w:val="right" w:pos="1008"/>
          <w:tab w:val="left" w:pos="1152"/>
          <w:tab w:val="left" w:pos="1872"/>
          <w:tab w:val="left" w:pos="9187"/>
        </w:tabs>
        <w:ind w:left="2088" w:hanging="2088"/>
        <w:jc w:val="left"/>
      </w:pPr>
    </w:p>
    <w:p w:rsidR="00AE433B" w:rsidRPr="00AE433B" w:rsidRDefault="00AE433B" w:rsidP="00AE433B">
      <w:pPr>
        <w:widowControl w:val="0"/>
        <w:tabs>
          <w:tab w:val="right" w:pos="1008"/>
          <w:tab w:val="left" w:pos="1152"/>
          <w:tab w:val="left" w:pos="1872"/>
          <w:tab w:val="left" w:pos="9187"/>
        </w:tabs>
        <w:ind w:left="2088" w:hanging="2088"/>
        <w:jc w:val="left"/>
      </w:pPr>
    </w:p>
    <w:p w:rsidR="00AE433B" w:rsidRDefault="00AE433B" w:rsidP="00AE433B">
      <w:pPr>
        <w:widowControl w:val="0"/>
        <w:jc w:val="left"/>
      </w:pPr>
      <w:r w:rsidRPr="00AE433B">
        <w:rPr>
          <w:b/>
        </w:rPr>
        <w:t>VERSIONS OF THIS BILL</w:t>
      </w:r>
    </w:p>
    <w:p w:rsidR="00AE433B" w:rsidRDefault="00AE433B" w:rsidP="00AE433B">
      <w:pPr>
        <w:widowControl w:val="0"/>
        <w:jc w:val="left"/>
      </w:pPr>
    </w:p>
    <w:p w:rsidR="00AE433B" w:rsidRDefault="0071732C" w:rsidP="00AE433B">
      <w:pPr>
        <w:widowControl w:val="0"/>
        <w:jc w:val="left"/>
      </w:pPr>
      <w:hyperlink r:id="rId9" w:history="1">
        <w:r w:rsidR="00AE433B">
          <w:rPr>
            <w:rStyle w:val="Hyperlink"/>
          </w:rPr>
          <w:t>12/1/2010</w:t>
        </w:r>
      </w:hyperlink>
    </w:p>
    <w:p w:rsidR="00AE433B" w:rsidRDefault="00AE433B" w:rsidP="00AE433B"/>
    <w:p w:rsidR="00AE433B" w:rsidRDefault="00AE433B" w:rsidP="00AE433B">
      <w:pPr>
        <w:sectPr w:rsidR="00AE433B" w:rsidSect="00AE433B">
          <w:pgSz w:w="12240" w:h="15840" w:code="1"/>
          <w:pgMar w:top="1080" w:right="1440" w:bottom="1080" w:left="1440" w:header="720" w:footer="720" w:gutter="0"/>
          <w:cols w:space="720"/>
          <w:noEndnote/>
          <w:docGrid w:linePitch="360"/>
        </w:sectPr>
      </w:pPr>
    </w:p>
    <w:p w:rsidR="00E90081" w:rsidRDefault="00E90081" w:rsidP="00E90081">
      <w:pPr>
        <w:pStyle w:val="BillDots0"/>
      </w:pPr>
    </w:p>
    <w:p w:rsidR="00E90081" w:rsidRDefault="00E90081" w:rsidP="00E90081">
      <w:pPr>
        <w:pStyle w:val="Numbersforbills"/>
      </w:pPr>
    </w:p>
    <w:p w:rsidR="00E90081" w:rsidRDefault="00E90081" w:rsidP="00E9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081" w:rsidRDefault="00E90081" w:rsidP="00E9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081" w:rsidRDefault="00E90081" w:rsidP="00E9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081" w:rsidRDefault="00E90081" w:rsidP="00E9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081" w:rsidRDefault="00E90081" w:rsidP="00E9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C7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ENACT THE </w:t>
      </w:r>
      <w:r w:rsidR="00EC582C">
        <w:t>“</w:t>
      </w:r>
      <w:r>
        <w:t>SOUTH CAROLINA ECONOMIC RECOVERY ACT</w:t>
      </w:r>
      <w:r w:rsidR="00EC582C">
        <w:t>”</w:t>
      </w:r>
      <w:r>
        <w:t xml:space="preserve"> BY TEMPORARILY PROVIDING “BONUS”</w:t>
      </w:r>
      <w:r w:rsidR="00E37133">
        <w:t xml:space="preserve"> STATE INCOME</w:t>
      </w:r>
      <w:r>
        <w:t xml:space="preserve"> </w:t>
      </w:r>
      <w:r w:rsidR="003A66C4">
        <w:t xml:space="preserve">TAX </w:t>
      </w:r>
      <w:r>
        <w:t>EXPENSING</w:t>
      </w:r>
      <w:r w:rsidR="00E37133">
        <w:t xml:space="preserve"> DEDUCTIONS</w:t>
      </w:r>
      <w:r>
        <w:t xml:space="preserve"> FOR NEW DEPRECIABLE BUSINESS PROPERTY</w:t>
      </w:r>
      <w:r w:rsidR="00E37133">
        <w:t xml:space="preserve">, BY </w:t>
      </w:r>
      <w:r>
        <w:t>EXCLU</w:t>
      </w:r>
      <w:r w:rsidR="00E37133">
        <w:t>D</w:t>
      </w:r>
      <w:r>
        <w:t>IN</w:t>
      </w:r>
      <w:r w:rsidR="00E37133">
        <w:t>G</w:t>
      </w:r>
      <w:r>
        <w:t xml:space="preserve"> FROM SOUTH CAROLINA TAXABLE INCOME NET CAPITAL GAINS ATTRIBUTABLE TO THE SALE OR EXCHANGE OF D</w:t>
      </w:r>
      <w:r w:rsidR="00E37133">
        <w:t>E</w:t>
      </w:r>
      <w:r>
        <w:t>P</w:t>
      </w:r>
      <w:r w:rsidR="00E37133">
        <w:t>R</w:t>
      </w:r>
      <w:r>
        <w:t>E</w:t>
      </w:r>
      <w:r w:rsidR="00E37133">
        <w:t>CI</w:t>
      </w:r>
      <w:r>
        <w:t>ABLE BUSINESS PROPERTY</w:t>
      </w:r>
      <w:r w:rsidR="00953240">
        <w:t xml:space="preserve"> RECEIVING THAT “BONUS” DEDUCTION</w:t>
      </w:r>
      <w:r>
        <w:t xml:space="preserve">, AND </w:t>
      </w:r>
      <w:r w:rsidR="00E37133">
        <w:t xml:space="preserve">BY </w:t>
      </w:r>
      <w:r>
        <w:t>PROVIDING A TAX CREDIT FOR EMPLOYERS HIRING A NEW FULL</w:t>
      </w:r>
      <w:r w:rsidR="00E420AF">
        <w:noBreakHyphen/>
      </w:r>
      <w:r>
        <w:t>TIME EMPLOYEE WHO WAS FORMERLY UNEMPLOYED, AND TO DEFINE TERMS BY APPROPRIATE REFERENCES TO PROVISIONS IN CHAPTER 6, TITLE 12, CODE OF LAWS OF SOUTH CAROLINA, 1976, THE SOUTH CAROLINA INCOME TAX ACT.</w:t>
      </w:r>
    </w:p>
    <w:p w:rsidR="001F5C72"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C72"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5C72"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C72"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1578">
        <w:t xml:space="preserve">This joint resolution may be cited as the </w:t>
      </w:r>
      <w:r w:rsidR="0086120A">
        <w:t>“</w:t>
      </w:r>
      <w:r w:rsidR="00411578">
        <w:t>South Carolina Economic Recovery Act</w:t>
      </w:r>
      <w:r w:rsidR="0086120A">
        <w:t>”</w:t>
      </w:r>
      <w:r w:rsidR="00411578">
        <w:t>.</w:t>
      </w:r>
    </w:p>
    <w:p w:rsidR="00411578" w:rsidRDefault="00411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578" w:rsidRDefault="00411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953240">
        <w:t>(A)</w:t>
      </w:r>
      <w:r w:rsidR="00953240">
        <w:tab/>
      </w:r>
      <w:r>
        <w:t xml:space="preserve">For purposes of Chapter 6, Title 12 of the 1976 Code, the South Carolina Income Tax Act, during the eligibility period, to the extent that a business claiming the maximum deduction allowed in 2011 and 2012 pursuant to Internal Revenue Code Section 179 and the cost of the property giving rise to the Section 179 deduction exceeded the maximum deduction allowed for federal income tax purposes, there is allowed as a deduction from </w:t>
      </w:r>
      <w:r w:rsidR="00785672">
        <w:t>South Carolina taxable income an amount equal to the difference between the total Section 179 deduction claimed for federal income tax purposes and one million dollars.  If all or some part of this “bonu</w:t>
      </w:r>
      <w:r w:rsidR="0010334C">
        <w:t>s</w:t>
      </w:r>
      <w:r w:rsidR="00785672">
        <w:t>” deduction remains after the taxpayer</w:t>
      </w:r>
      <w:r w:rsidR="00E420AF" w:rsidRPr="00E420AF">
        <w:t>’</w:t>
      </w:r>
      <w:r w:rsidR="00785672">
        <w:t>s South Carolina taxable income for the year is reduced to zero, then the unused deduction may be carried forward for the succeeding five taxable years.  In the case of “pass</w:t>
      </w:r>
      <w:r w:rsidR="00E420AF">
        <w:noBreakHyphen/>
      </w:r>
      <w:r w:rsidR="00785672">
        <w:t>through”</w:t>
      </w:r>
      <w:r w:rsidR="00E37133">
        <w:t xml:space="preserve"> businesses</w:t>
      </w:r>
      <w:r w:rsidR="00785672">
        <w:t xml:space="preserve">, this bonus deduction passes to </w:t>
      </w:r>
      <w:r w:rsidR="00E37133">
        <w:t xml:space="preserve">the </w:t>
      </w:r>
      <w:r w:rsidR="00785672">
        <w:t>taxpayer in the same manner as the Section 179 deduction.</w:t>
      </w:r>
    </w:p>
    <w:p w:rsidR="00785672" w:rsidRDefault="00953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785672">
        <w:tab/>
        <w:t>To the extent there is included in a taxpayer</w:t>
      </w:r>
      <w:r w:rsidR="00E420AF" w:rsidRPr="00E420AF">
        <w:t>’</w:t>
      </w:r>
      <w:r w:rsidR="00785672">
        <w:t>s South Carolina taxable income net ca</w:t>
      </w:r>
      <w:r w:rsidR="00E37133">
        <w:t>pital gain attributable to the sale or</w:t>
      </w:r>
      <w:r w:rsidR="00785672" w:rsidRPr="00785672">
        <w:t xml:space="preserve"> </w:t>
      </w:r>
      <w:r w:rsidR="00785672">
        <w:t xml:space="preserve">exchange of </w:t>
      </w:r>
      <w:r w:rsidR="00E37133">
        <w:t>property</w:t>
      </w:r>
      <w:r>
        <w:t xml:space="preserve"> receiving the bonus deduction allowed pursuant to subsection (</w:t>
      </w:r>
      <w:r w:rsidR="0070617C">
        <w:t>A</w:t>
      </w:r>
      <w:r>
        <w:t>) of this section</w:t>
      </w:r>
      <w:r w:rsidR="00785672">
        <w:t>, then the amount of that net capital gain is not included in the taxpayer</w:t>
      </w:r>
      <w:r w:rsidR="00E420AF" w:rsidRPr="00E420AF">
        <w:t>’</w:t>
      </w:r>
      <w:r w:rsidR="00785672">
        <w:t>s South Carolina taxable income</w:t>
      </w:r>
      <w:r>
        <w:t xml:space="preserve"> for the applicable taxable year.  Any net capital gain recognized in that taxable year</w:t>
      </w:r>
      <w:r w:rsidR="00785672">
        <w:t xml:space="preserve"> is deemed to be net capital gain attributable to the sale or exchange of </w:t>
      </w:r>
      <w:r>
        <w:t>the “bonus” receiving</w:t>
      </w:r>
      <w:r w:rsidR="00785672">
        <w:t xml:space="preserve"> property up to the amount of net capital gain resulting solely from the sale or exchange of </w:t>
      </w:r>
      <w:r>
        <w:t>that property</w:t>
      </w:r>
      <w:r w:rsidR="00785672">
        <w:t>.</w:t>
      </w:r>
    </w:p>
    <w:p w:rsidR="00785672" w:rsidRDefault="00785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3A" w:rsidRDefault="00785672"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r>
      <w:r w:rsidR="00953240">
        <w:t>3</w:t>
      </w:r>
      <w:r>
        <w:t>.</w:t>
      </w:r>
      <w:r>
        <w:tab/>
      </w:r>
      <w:r w:rsidR="00F65B3A">
        <w:rPr>
          <w:rFonts w:eastAsiaTheme="minorHAnsi"/>
          <w:color w:val="000000" w:themeColor="text1"/>
          <w:szCs w:val="22"/>
          <w:u w:color="000000" w:themeColor="text1"/>
        </w:rPr>
        <w:t>(A)</w:t>
      </w:r>
      <w:r w:rsidR="00F65B3A">
        <w:rPr>
          <w:rFonts w:eastAsiaTheme="minorHAnsi"/>
          <w:color w:val="000000" w:themeColor="text1"/>
          <w:szCs w:val="22"/>
          <w:u w:color="000000" w:themeColor="text1"/>
        </w:rPr>
        <w:tab/>
        <w:t xml:space="preserve">As used in this section, </w:t>
      </w:r>
      <w:r w:rsidR="00EC582C">
        <w:rPr>
          <w:rFonts w:eastAsiaTheme="minorHAnsi"/>
          <w:color w:val="000000" w:themeColor="text1"/>
          <w:szCs w:val="22"/>
          <w:u w:color="000000" w:themeColor="text1"/>
        </w:rPr>
        <w:t>“</w:t>
      </w:r>
      <w:r w:rsidR="00F65B3A">
        <w:rPr>
          <w:rFonts w:eastAsiaTheme="minorHAnsi"/>
          <w:color w:val="000000" w:themeColor="text1"/>
          <w:szCs w:val="22"/>
          <w:u w:color="000000" w:themeColor="text1"/>
        </w:rPr>
        <w:t>creditable employee</w:t>
      </w:r>
      <w:r w:rsidR="00EC582C">
        <w:rPr>
          <w:rFonts w:eastAsiaTheme="minorHAnsi"/>
          <w:color w:val="000000" w:themeColor="text1"/>
          <w:szCs w:val="22"/>
          <w:u w:color="000000" w:themeColor="text1"/>
        </w:rPr>
        <w:t>”</w:t>
      </w:r>
      <w:r w:rsidR="00F65B3A">
        <w:rPr>
          <w:rFonts w:eastAsiaTheme="minorHAnsi"/>
          <w:color w:val="000000" w:themeColor="text1"/>
          <w:szCs w:val="22"/>
          <w:u w:color="000000" w:themeColor="text1"/>
        </w:rPr>
        <w:t xml:space="preserve"> means an employee of a taxpayer employer who:</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the effective date of this joint resolution, and before July 1, 2013;</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EC582C">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EC582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w:t>
      </w:r>
      <w:r w:rsidR="00E37133">
        <w:rPr>
          <w:rFonts w:eastAsiaTheme="minorHAnsi"/>
          <w:color w:val="000000" w:themeColor="text1"/>
          <w:szCs w:val="22"/>
          <w:u w:color="000000" w:themeColor="text1"/>
        </w:rPr>
        <w:t>d receive a credit against</w:t>
      </w:r>
      <w:r>
        <w:rPr>
          <w:rFonts w:eastAsiaTheme="minorHAnsi"/>
          <w:color w:val="000000" w:themeColor="text1"/>
          <w:szCs w:val="22"/>
          <w:u w:color="000000" w:themeColor="text1"/>
        </w:rPr>
        <w:t xml:space="preserve"> taxes as provided in subsection (C) of this section.  The amount of the credit is one twelfth of four percent of the creditable employee</w:t>
      </w:r>
      <w:r w:rsidR="00E420AF" w:rsidRPr="00E420AF">
        <w:rPr>
          <w:rFonts w:eastAsiaTheme="minorHAnsi"/>
          <w:color w:val="000000" w:themeColor="text1"/>
          <w:szCs w:val="22"/>
          <w:u w:color="000000" w:themeColor="text1"/>
        </w:rPr>
        <w:t>’</w:t>
      </w:r>
      <w:r>
        <w:rPr>
          <w:rFonts w:eastAsiaTheme="minorHAnsi"/>
          <w:color w:val="000000" w:themeColor="text1"/>
          <w:szCs w:val="22"/>
          <w:u w:color="000000" w:themeColor="text1"/>
        </w:rPr>
        <w:t>s current annual</w:t>
      </w:r>
      <w:r w:rsidR="00E37133">
        <w:rPr>
          <w:rFonts w:eastAsiaTheme="minorHAnsi"/>
          <w:color w:val="000000" w:themeColor="text1"/>
          <w:szCs w:val="22"/>
          <w:u w:color="000000" w:themeColor="text1"/>
        </w:rPr>
        <w:t>ized</w:t>
      </w:r>
      <w:r>
        <w:rPr>
          <w:rFonts w:eastAsiaTheme="minorHAnsi"/>
          <w:color w:val="000000" w:themeColor="text1"/>
          <w:szCs w:val="22"/>
          <w:u w:color="000000" w:themeColor="text1"/>
        </w:rPr>
        <w:t xml:space="preserve"> wages, not to exceed eighty</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five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w:t>
      </w:r>
      <w:r w:rsidR="00E37133">
        <w:rPr>
          <w:rFonts w:eastAsiaTheme="minorHAnsi"/>
          <w:color w:val="000000" w:themeColor="text1"/>
          <w:szCs w:val="22"/>
          <w:u w:color="000000" w:themeColor="text1"/>
        </w:rPr>
        <w:t>e taxes imposed pursuant to</w:t>
      </w:r>
      <w:r>
        <w:rPr>
          <w:rFonts w:eastAsiaTheme="minorHAnsi"/>
          <w:color w:val="000000" w:themeColor="text1"/>
          <w:szCs w:val="22"/>
          <w:u w:color="000000" w:themeColor="text1"/>
        </w:rPr>
        <w:t xml:space="preserve"> </w:t>
      </w:r>
      <w:r w:rsidR="00E37133">
        <w:rPr>
          <w:rFonts w:eastAsiaTheme="minorHAnsi"/>
          <w:color w:val="000000" w:themeColor="text1"/>
          <w:szCs w:val="22"/>
          <w:u w:color="000000" w:themeColor="text1"/>
        </w:rPr>
        <w:t>C</w:t>
      </w:r>
      <w:r>
        <w:rPr>
          <w:rFonts w:eastAsiaTheme="minorHAnsi"/>
          <w:color w:val="000000" w:themeColor="text1"/>
          <w:szCs w:val="22"/>
          <w:u w:color="000000" w:themeColor="text1"/>
        </w:rPr>
        <w:t>hapter</w:t>
      </w:r>
      <w:r w:rsidR="00E37133">
        <w:rPr>
          <w:rFonts w:eastAsiaTheme="minorHAnsi"/>
          <w:color w:val="000000" w:themeColor="text1"/>
          <w:szCs w:val="22"/>
          <w:u w:color="000000" w:themeColor="text1"/>
        </w:rPr>
        <w:t xml:space="preserve"> 6</w:t>
      </w:r>
      <w:r>
        <w:rPr>
          <w:rFonts w:eastAsiaTheme="minorHAnsi"/>
          <w:color w:val="000000" w:themeColor="text1"/>
          <w:szCs w:val="22"/>
          <w:u w:color="000000" w:themeColor="text1"/>
        </w:rPr>
        <w:t xml:space="preserve">, the bank tax imposed pursuant to Chapter 11, the savings and loan association tax imposed pursuant to Chapter 13, </w:t>
      </w:r>
      <w:r w:rsidR="00E37133">
        <w:rPr>
          <w:rFonts w:eastAsiaTheme="minorHAnsi"/>
          <w:color w:val="000000" w:themeColor="text1"/>
          <w:szCs w:val="22"/>
          <w:u w:color="000000" w:themeColor="text1"/>
        </w:rPr>
        <w:t xml:space="preserve">and </w:t>
      </w:r>
      <w:r>
        <w:rPr>
          <w:rFonts w:eastAsiaTheme="minorHAnsi"/>
          <w:color w:val="000000" w:themeColor="text1"/>
          <w:szCs w:val="22"/>
          <w:u w:color="000000" w:themeColor="text1"/>
        </w:rPr>
        <w:t>the corporate license tax imposed pursuant to Chapter 20</w:t>
      </w:r>
      <w:r w:rsidR="00E3713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all of Title 12 of the 1976 Code, and insurance premium taxes imposed pursuant to Chapter 7, Title 38 of the 1976 Code.</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E420AF" w:rsidRPr="00E420AF">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E420AF" w:rsidRPr="00E420AF">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E420AF" w:rsidRPr="00E420AF">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785672"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twenty</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four consecutive months for each creditable employee.</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953240">
        <w:rPr>
          <w:rFonts w:eastAsiaTheme="minorHAnsi"/>
          <w:color w:val="000000" w:themeColor="text1"/>
          <w:szCs w:val="22"/>
          <w:u w:color="000000" w:themeColor="text1"/>
        </w:rPr>
        <w:t>4</w:t>
      </w:r>
      <w:r>
        <w:rPr>
          <w:rFonts w:eastAsiaTheme="minorHAnsi"/>
          <w:color w:val="000000" w:themeColor="text1"/>
          <w:szCs w:val="22"/>
          <w:u w:color="000000" w:themeColor="text1"/>
        </w:rPr>
        <w:t>.</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used in SECTIONS 2 and 3 of this joint resolution:</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“eligible period” means the time from the effective date of this joint resolution through December 31, 2012;</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“Internal Revenue Code” means the Internal Revenue Code of 1986, as defined pursuant to Section 12</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6</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40 of the 1976 Code and includes provisions therein contained in the Small Business Jobs and Credit Act of 2010;</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“net capital</w:t>
      </w:r>
      <w:r w:rsidR="00E37133">
        <w:rPr>
          <w:rFonts w:eastAsiaTheme="minorHAnsi"/>
          <w:color w:val="000000" w:themeColor="text1"/>
          <w:szCs w:val="22"/>
          <w:u w:color="000000" w:themeColor="text1"/>
        </w:rPr>
        <w:t xml:space="preserve"> gain</w:t>
      </w:r>
      <w:r w:rsidR="00EC582C">
        <w:rPr>
          <w:rFonts w:eastAsiaTheme="minorHAnsi"/>
          <w:color w:val="000000" w:themeColor="text1"/>
          <w:szCs w:val="22"/>
          <w:u w:color="000000" w:themeColor="text1"/>
        </w:rPr>
        <w:t>”</w:t>
      </w:r>
      <w:r w:rsidR="00E37133">
        <w:rPr>
          <w:rFonts w:eastAsiaTheme="minorHAnsi"/>
          <w:color w:val="000000" w:themeColor="text1"/>
          <w:szCs w:val="22"/>
          <w:u w:color="000000" w:themeColor="text1"/>
        </w:rPr>
        <w:t xml:space="preserve"> has the meaning provided</w:t>
      </w:r>
      <w:r>
        <w:rPr>
          <w:rFonts w:eastAsiaTheme="minorHAnsi"/>
          <w:color w:val="000000" w:themeColor="text1"/>
          <w:szCs w:val="22"/>
          <w:u w:color="000000" w:themeColor="text1"/>
        </w:rPr>
        <w:t xml:space="preserve"> pursuant to Section 12</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6</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1150(B)(2) of the 1976 Code.</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South Carolina Department of Revenue may promulgate regulations and prescribe procedures to provide for the administration of this joint resolution.</w:t>
      </w:r>
    </w:p>
    <w:p w:rsidR="001F5C72"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3240">
        <w:t>5</w:t>
      </w:r>
      <w:r>
        <w:t>.</w:t>
      </w:r>
      <w:r>
        <w:tab/>
        <w:t>This joint resolution takes effect upon approval by the Governor.</w:t>
      </w:r>
    </w:p>
    <w:p w:rsidR="003F0C0C" w:rsidRDefault="00E420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C0C" w:rsidRDefault="003F0C0C" w:rsidP="00AE433B">
      <w:pPr>
        <w:suppressAutoHyphens/>
      </w:pPr>
    </w:p>
    <w:sectPr w:rsidR="003F0C0C" w:rsidSect="00AE43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B3A" w:rsidRDefault="00F65B3A" w:rsidP="009F0C77">
      <w:r>
        <w:separator/>
      </w:r>
    </w:p>
  </w:endnote>
  <w:endnote w:type="continuationSeparator" w:id="0">
    <w:p w:rsidR="00F65B3A" w:rsidRDefault="00F65B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198AAD-10CC-45D0-A47B-F1A79924AF0E}"/>
    <w:embedBold r:id="rId2" w:fontKey="{D4B54277-9ED3-4845-8272-92F2E40952BC}"/>
  </w:font>
  <w:font w:name="Calibri">
    <w:panose1 w:val="020F0502020204030204"/>
    <w:charset w:val="00"/>
    <w:family w:val="swiss"/>
    <w:pitch w:val="variable"/>
    <w:sig w:usb0="E10002FF" w:usb1="4000ACFF" w:usb2="00000009" w:usb3="00000000" w:csb0="0000019F" w:csb1="00000000"/>
    <w:embedRegular r:id="rId3" w:fontKey="{D4ADFBC8-360C-420B-8320-67CA496B3C97}"/>
  </w:font>
  <w:font w:name="Tahoma">
    <w:panose1 w:val="020B0604030504040204"/>
    <w:charset w:val="00"/>
    <w:family w:val="swiss"/>
    <w:pitch w:val="variable"/>
    <w:sig w:usb0="21002A87" w:usb1="80000000" w:usb2="00000008" w:usb3="00000000" w:csb0="000101FF" w:csb1="00000000"/>
    <w:embedRegular r:id="rId4" w:fontKey="{9C93DCBF-C2A7-4ACF-B146-6831C9E7C4B0}"/>
  </w:font>
  <w:font w:name="Cambria">
    <w:panose1 w:val="02040503050406030204"/>
    <w:charset w:val="00"/>
    <w:family w:val="roman"/>
    <w:pitch w:val="variable"/>
    <w:sig w:usb0="E00002FF" w:usb1="400004FF" w:usb2="00000000" w:usb3="00000000" w:csb0="0000019F" w:csb1="00000000"/>
    <w:embedRegular r:id="rId5" w:fontKey="{585F865B-0F75-4499-9A88-3995EC1B92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3B" w:rsidRPr="003F0C0C" w:rsidRDefault="00AE433B" w:rsidP="003F0C0C">
    <w:pPr>
      <w:pStyle w:val="Footer"/>
      <w:tabs>
        <w:tab w:val="clear" w:pos="4680"/>
        <w:tab w:val="clear" w:pos="9360"/>
        <w:tab w:val="center" w:pos="2995"/>
      </w:tabs>
      <w:spacing w:before="120"/>
    </w:pPr>
    <w:r>
      <w:t>[118]</w:t>
    </w:r>
    <w:r>
      <w:tab/>
    </w:r>
    <w:r w:rsidR="0071732C">
      <w:fldChar w:fldCharType="begin"/>
    </w:r>
    <w:r w:rsidR="0071732C">
      <w:instrText xml:space="preserve"> PAGE  \* MERGEFORMAT </w:instrText>
    </w:r>
    <w:r w:rsidR="0071732C">
      <w:fldChar w:fldCharType="separate"/>
    </w:r>
    <w:r w:rsidR="0071732C">
      <w:rPr>
        <w:noProof/>
      </w:rPr>
      <w:t>1</w:t>
    </w:r>
    <w:r w:rsidR="007173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B3A" w:rsidRDefault="00F65B3A" w:rsidP="009F0C77">
      <w:r>
        <w:separator/>
      </w:r>
    </w:p>
  </w:footnote>
  <w:footnote w:type="continuationSeparator" w:id="0">
    <w:p w:rsidR="00F65B3A" w:rsidRDefault="00F65B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67HTC11"/>
    <w:docVar w:name="CoverBillType" w:val="j"/>
    <w:docVar w:name="docpath" w:val="L:\Council\bills\NBD\11067HTC11.DOCX"/>
    <w:docVar w:name="dvBillNumber" w:val="118"/>
    <w:docVar w:name="dvBillNumberPrefix" w:val="S. "/>
    <w:docVar w:name="dvOriginalBody" w:val="Senate"/>
    <w:docVar w:name="dvSteno" w:val="NBD"/>
    <w:docVar w:name="NameofBody" w:val="s"/>
    <w:docVar w:name="vgroup2" w:val="Council"/>
  </w:docVars>
  <w:rsids>
    <w:rsidRoot w:val="00936D82"/>
    <w:rsid w:val="0002541E"/>
    <w:rsid w:val="00026C9A"/>
    <w:rsid w:val="0003127F"/>
    <w:rsid w:val="000965A1"/>
    <w:rsid w:val="000E1785"/>
    <w:rsid w:val="000F17D7"/>
    <w:rsid w:val="001023A4"/>
    <w:rsid w:val="0010334C"/>
    <w:rsid w:val="0010776B"/>
    <w:rsid w:val="001244C8"/>
    <w:rsid w:val="00133E66"/>
    <w:rsid w:val="00134ACF"/>
    <w:rsid w:val="00144E15"/>
    <w:rsid w:val="0018513F"/>
    <w:rsid w:val="001A4A62"/>
    <w:rsid w:val="001A681E"/>
    <w:rsid w:val="001B45A6"/>
    <w:rsid w:val="001D08F2"/>
    <w:rsid w:val="001F5C72"/>
    <w:rsid w:val="0020082A"/>
    <w:rsid w:val="002037CA"/>
    <w:rsid w:val="002047A2"/>
    <w:rsid w:val="002321B6"/>
    <w:rsid w:val="0023696B"/>
    <w:rsid w:val="00240B4F"/>
    <w:rsid w:val="00250967"/>
    <w:rsid w:val="0026118D"/>
    <w:rsid w:val="002759C5"/>
    <w:rsid w:val="00277DEE"/>
    <w:rsid w:val="00280D88"/>
    <w:rsid w:val="00294ABE"/>
    <w:rsid w:val="002A3EB4"/>
    <w:rsid w:val="00325348"/>
    <w:rsid w:val="00377C2F"/>
    <w:rsid w:val="00382D6A"/>
    <w:rsid w:val="00393688"/>
    <w:rsid w:val="003A66C4"/>
    <w:rsid w:val="003D411E"/>
    <w:rsid w:val="003E3C1E"/>
    <w:rsid w:val="003E6148"/>
    <w:rsid w:val="003F0C0C"/>
    <w:rsid w:val="003F2DE8"/>
    <w:rsid w:val="00400EAA"/>
    <w:rsid w:val="00411578"/>
    <w:rsid w:val="0041760A"/>
    <w:rsid w:val="004645AB"/>
    <w:rsid w:val="004809EE"/>
    <w:rsid w:val="00511EE9"/>
    <w:rsid w:val="00521E00"/>
    <w:rsid w:val="00577C6C"/>
    <w:rsid w:val="005813C4"/>
    <w:rsid w:val="0058501B"/>
    <w:rsid w:val="005A25E5"/>
    <w:rsid w:val="006215AA"/>
    <w:rsid w:val="006340D9"/>
    <w:rsid w:val="00643B8E"/>
    <w:rsid w:val="00665EBC"/>
    <w:rsid w:val="0069470D"/>
    <w:rsid w:val="00695413"/>
    <w:rsid w:val="006A476C"/>
    <w:rsid w:val="006C6A93"/>
    <w:rsid w:val="006E02F9"/>
    <w:rsid w:val="0070617C"/>
    <w:rsid w:val="0071732C"/>
    <w:rsid w:val="00753C04"/>
    <w:rsid w:val="00756946"/>
    <w:rsid w:val="00757F80"/>
    <w:rsid w:val="00771EEC"/>
    <w:rsid w:val="00785672"/>
    <w:rsid w:val="00786819"/>
    <w:rsid w:val="007A325A"/>
    <w:rsid w:val="007A63F2"/>
    <w:rsid w:val="007E21E6"/>
    <w:rsid w:val="007F1523"/>
    <w:rsid w:val="007F509E"/>
    <w:rsid w:val="007F5799"/>
    <w:rsid w:val="007F6947"/>
    <w:rsid w:val="007F7823"/>
    <w:rsid w:val="00806A51"/>
    <w:rsid w:val="0086120A"/>
    <w:rsid w:val="00872729"/>
    <w:rsid w:val="008F4429"/>
    <w:rsid w:val="009352BB"/>
    <w:rsid w:val="00936D82"/>
    <w:rsid w:val="00953240"/>
    <w:rsid w:val="00990668"/>
    <w:rsid w:val="009A6ABD"/>
    <w:rsid w:val="009D5AE8"/>
    <w:rsid w:val="009F0C77"/>
    <w:rsid w:val="009F4DD1"/>
    <w:rsid w:val="00A158F6"/>
    <w:rsid w:val="00A45989"/>
    <w:rsid w:val="00A64E80"/>
    <w:rsid w:val="00A741D9"/>
    <w:rsid w:val="00A9741D"/>
    <w:rsid w:val="00AD4B17"/>
    <w:rsid w:val="00AE433B"/>
    <w:rsid w:val="00B26FA6"/>
    <w:rsid w:val="00B71679"/>
    <w:rsid w:val="00B741CB"/>
    <w:rsid w:val="00B934F3"/>
    <w:rsid w:val="00BB6347"/>
    <w:rsid w:val="00BD2134"/>
    <w:rsid w:val="00C038D8"/>
    <w:rsid w:val="00C045DD"/>
    <w:rsid w:val="00C3136F"/>
    <w:rsid w:val="00C33DA7"/>
    <w:rsid w:val="00C3483A"/>
    <w:rsid w:val="00C74E9D"/>
    <w:rsid w:val="00C82FD3"/>
    <w:rsid w:val="00CC6B7B"/>
    <w:rsid w:val="00CD3619"/>
    <w:rsid w:val="00CF4447"/>
    <w:rsid w:val="00D058D8"/>
    <w:rsid w:val="00D405E7"/>
    <w:rsid w:val="00D41D56"/>
    <w:rsid w:val="00D6260D"/>
    <w:rsid w:val="00D6662B"/>
    <w:rsid w:val="00D70666"/>
    <w:rsid w:val="00D95E2F"/>
    <w:rsid w:val="00D970A9"/>
    <w:rsid w:val="00DB3AC0"/>
    <w:rsid w:val="00DD6454"/>
    <w:rsid w:val="00DE68F0"/>
    <w:rsid w:val="00DF3845"/>
    <w:rsid w:val="00DF7E17"/>
    <w:rsid w:val="00E00D2A"/>
    <w:rsid w:val="00E37133"/>
    <w:rsid w:val="00E420AF"/>
    <w:rsid w:val="00E710DD"/>
    <w:rsid w:val="00E90081"/>
    <w:rsid w:val="00E932F4"/>
    <w:rsid w:val="00EB00A2"/>
    <w:rsid w:val="00EB1BF3"/>
    <w:rsid w:val="00EC582C"/>
    <w:rsid w:val="00EF3EEE"/>
    <w:rsid w:val="00F149A7"/>
    <w:rsid w:val="00F50BAF"/>
    <w:rsid w:val="00F52C10"/>
    <w:rsid w:val="00F65B3A"/>
    <w:rsid w:val="00F81FFD"/>
    <w:rsid w:val="00F85228"/>
    <w:rsid w:val="00FB6773"/>
    <w:rsid w:val="00FC1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D37DB7-E956-4F94-8F97-ADE55725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334C"/>
    <w:rPr>
      <w:rFonts w:ascii="Tahoma" w:hAnsi="Tahoma" w:cs="Tahoma"/>
      <w:sz w:val="16"/>
      <w:szCs w:val="16"/>
    </w:rPr>
  </w:style>
  <w:style w:type="character" w:customStyle="1" w:styleId="BalloonTextChar">
    <w:name w:val="Balloon Text Char"/>
    <w:basedOn w:val="DefaultParagraphFont"/>
    <w:link w:val="BalloonText"/>
    <w:uiPriority w:val="99"/>
    <w:semiHidden/>
    <w:rsid w:val="0010334C"/>
    <w:rPr>
      <w:rFonts w:ascii="Tahoma" w:eastAsia="Times New Roman" w:hAnsi="Tahoma" w:cs="Tahoma"/>
      <w:sz w:val="16"/>
      <w:szCs w:val="16"/>
    </w:rPr>
  </w:style>
  <w:style w:type="paragraph" w:customStyle="1" w:styleId="BillDots0">
    <w:name w:val="Bill Dots"/>
    <w:basedOn w:val="Normal"/>
    <w:qFormat/>
    <w:rsid w:val="00E900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90081"/>
    <w:pPr>
      <w:tabs>
        <w:tab w:val="right" w:pos="5904"/>
      </w:tabs>
    </w:pPr>
  </w:style>
  <w:style w:type="character" w:styleId="Hyperlink">
    <w:name w:val="Hyperlink"/>
    <w:basedOn w:val="DefaultParagraphFont"/>
    <w:uiPriority w:val="99"/>
    <w:unhideWhenUsed/>
    <w:rsid w:val="00AE43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8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14E08-3195-423B-ACB6-6F899E85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997</Words>
  <Characters>5219</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118: S.C. Economic Recovery Act - South Carolina Legislature Online</dc:title>
  <dc:subject/>
  <dc:creator>NikiDowney</dc:creator>
  <cp:keywords/>
  <dc:description/>
  <cp:lastModifiedBy>N Cumfer</cp:lastModifiedBy>
  <cp:revision>2</cp:revision>
  <cp:lastPrinted>2010-11-30T21:48:00Z</cp:lastPrinted>
  <dcterms:created xsi:type="dcterms:W3CDTF">2014-11-21T20:26:00Z</dcterms:created>
  <dcterms:modified xsi:type="dcterms:W3CDTF">2014-11-21T20:26:00Z</dcterms:modified>
</cp:coreProperties>
</file>