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B8D" w:rsidRDefault="001C2B8D" w:rsidP="001C2B8D">
      <w:pPr>
        <w:widowControl w:val="0"/>
        <w:jc w:val="center"/>
      </w:pPr>
      <w:bookmarkStart w:id="0" w:name="_GoBack"/>
      <w:bookmarkEnd w:id="0"/>
      <w:r w:rsidRPr="001C2B8D">
        <w:rPr>
          <w:b/>
        </w:rPr>
        <w:t>South Carolina General Assembly</w:t>
      </w:r>
    </w:p>
    <w:p w:rsidR="001C2B8D" w:rsidRDefault="001C2B8D" w:rsidP="001C2B8D">
      <w:pPr>
        <w:widowControl w:val="0"/>
        <w:jc w:val="center"/>
      </w:pPr>
      <w:r>
        <w:t>119th Session, 2011-2012</w:t>
      </w:r>
    </w:p>
    <w:p w:rsidR="001C2B8D" w:rsidRDefault="001C2B8D" w:rsidP="001C2B8D">
      <w:pPr>
        <w:widowControl w:val="0"/>
      </w:pPr>
    </w:p>
    <w:p w:rsidR="001C2B8D" w:rsidRDefault="001C2B8D" w:rsidP="001C2B8D">
      <w:pPr>
        <w:widowControl w:val="0"/>
        <w:rPr>
          <w:b/>
        </w:rPr>
      </w:pPr>
      <w:r w:rsidRPr="001C2B8D">
        <w:rPr>
          <w:b/>
        </w:rPr>
        <w:t>S.</w:t>
      </w:r>
      <w:r>
        <w:rPr>
          <w:b/>
        </w:rPr>
        <w:t xml:space="preserve"> </w:t>
      </w:r>
      <w:r w:rsidRPr="001C2B8D">
        <w:rPr>
          <w:b/>
        </w:rPr>
        <w:t>1233</w:t>
      </w:r>
    </w:p>
    <w:p w:rsidR="001C2B8D" w:rsidRDefault="001C2B8D" w:rsidP="001C2B8D">
      <w:pPr>
        <w:widowControl w:val="0"/>
        <w:rPr>
          <w:b/>
        </w:rPr>
      </w:pPr>
    </w:p>
    <w:p w:rsidR="001C2B8D" w:rsidRDefault="001C2B8D" w:rsidP="001C2B8D">
      <w:pPr>
        <w:widowControl w:val="0"/>
      </w:pPr>
      <w:r w:rsidRPr="001C2B8D">
        <w:rPr>
          <w:b/>
        </w:rPr>
        <w:t>STATUS INFORMATION</w:t>
      </w:r>
    </w:p>
    <w:p w:rsidR="001C2B8D" w:rsidRDefault="001C2B8D" w:rsidP="001C2B8D">
      <w:pPr>
        <w:widowControl w:val="0"/>
      </w:pPr>
    </w:p>
    <w:p w:rsidR="001C2B8D" w:rsidRDefault="001C2B8D" w:rsidP="001C2B8D">
      <w:pPr>
        <w:widowControl w:val="0"/>
      </w:pPr>
      <w:r>
        <w:t>General Bill</w:t>
      </w:r>
    </w:p>
    <w:p w:rsidR="001C2B8D" w:rsidRDefault="001C2B8D" w:rsidP="001C2B8D">
      <w:pPr>
        <w:widowControl w:val="0"/>
      </w:pPr>
      <w:r>
        <w:t>Sponsors: Senator Malloy</w:t>
      </w:r>
    </w:p>
    <w:p w:rsidR="001C2B8D" w:rsidRDefault="001C2B8D" w:rsidP="001C2B8D">
      <w:pPr>
        <w:widowControl w:val="0"/>
      </w:pPr>
      <w:r>
        <w:t>Document Path: l:\s-jud\bills\malloy\jud0169.js.docx</w:t>
      </w:r>
    </w:p>
    <w:p w:rsidR="001C2B8D" w:rsidRDefault="001C2B8D" w:rsidP="001C2B8D">
      <w:pPr>
        <w:widowControl w:val="0"/>
      </w:pPr>
    </w:p>
    <w:p w:rsidR="001C2B8D" w:rsidRDefault="001C2B8D" w:rsidP="001C2B8D">
      <w:pPr>
        <w:widowControl w:val="0"/>
      </w:pPr>
      <w:r>
        <w:t>Introduced in the Senate on February 16, 2012</w:t>
      </w:r>
    </w:p>
    <w:p w:rsidR="001C2B8D" w:rsidRDefault="001C2B8D" w:rsidP="001C2B8D">
      <w:pPr>
        <w:widowControl w:val="0"/>
      </w:pPr>
      <w:r>
        <w:t xml:space="preserve">Currently residing in the Senate Committee on </w:t>
      </w:r>
      <w:r w:rsidRPr="001C2B8D">
        <w:rPr>
          <w:b/>
        </w:rPr>
        <w:t>Judiciary</w:t>
      </w:r>
    </w:p>
    <w:p w:rsidR="001C2B8D" w:rsidRDefault="001C2B8D" w:rsidP="001C2B8D">
      <w:pPr>
        <w:widowControl w:val="0"/>
      </w:pPr>
    </w:p>
    <w:p w:rsidR="001C2B8D" w:rsidRDefault="001C2B8D" w:rsidP="001C2B8D">
      <w:pPr>
        <w:widowControl w:val="0"/>
      </w:pPr>
      <w:r>
        <w:t xml:space="preserve">Summary: </w:t>
      </w:r>
      <w:r w:rsidR="00494058">
        <w:t>Taxpayer Relief Act</w:t>
      </w:r>
    </w:p>
    <w:p w:rsidR="001C2B8D" w:rsidRDefault="001C2B8D" w:rsidP="001C2B8D">
      <w:pPr>
        <w:widowControl w:val="0"/>
      </w:pPr>
    </w:p>
    <w:p w:rsidR="001C2B8D" w:rsidRDefault="001C2B8D" w:rsidP="001C2B8D">
      <w:pPr>
        <w:widowControl w:val="0"/>
      </w:pPr>
    </w:p>
    <w:p w:rsidR="001C2B8D" w:rsidRDefault="001C2B8D" w:rsidP="001C2B8D">
      <w:pPr>
        <w:widowControl w:val="0"/>
        <w:tabs>
          <w:tab w:val="center" w:pos="590"/>
          <w:tab w:val="center" w:pos="1440"/>
          <w:tab w:val="left" w:pos="1872"/>
          <w:tab w:val="left" w:pos="9187"/>
        </w:tabs>
      </w:pPr>
      <w:r w:rsidRPr="001C2B8D">
        <w:rPr>
          <w:b/>
        </w:rPr>
        <w:t>HISTORY OF LEGISLATIVE ACTIONS</w:t>
      </w:r>
    </w:p>
    <w:p w:rsidR="001C2B8D" w:rsidRDefault="001C2B8D" w:rsidP="001C2B8D">
      <w:pPr>
        <w:widowControl w:val="0"/>
        <w:tabs>
          <w:tab w:val="center" w:pos="590"/>
          <w:tab w:val="center" w:pos="1440"/>
          <w:tab w:val="left" w:pos="1872"/>
          <w:tab w:val="left" w:pos="9187"/>
        </w:tabs>
      </w:pPr>
    </w:p>
    <w:p w:rsidR="001C2B8D" w:rsidRPr="001C2B8D" w:rsidRDefault="001C2B8D" w:rsidP="001C2B8D">
      <w:pPr>
        <w:widowControl w:val="0"/>
        <w:tabs>
          <w:tab w:val="center" w:pos="590"/>
          <w:tab w:val="center" w:pos="1440"/>
          <w:tab w:val="left" w:pos="1872"/>
          <w:tab w:val="left" w:pos="9187"/>
        </w:tabs>
      </w:pPr>
      <w:r w:rsidRPr="001C2B8D">
        <w:rPr>
          <w:u w:val="single"/>
        </w:rPr>
        <w:tab/>
        <w:t>Date</w:t>
      </w:r>
      <w:r w:rsidRPr="001C2B8D">
        <w:rPr>
          <w:u w:val="single"/>
        </w:rPr>
        <w:tab/>
        <w:t>Body</w:t>
      </w:r>
      <w:r w:rsidRPr="001C2B8D">
        <w:rPr>
          <w:u w:val="single"/>
        </w:rPr>
        <w:tab/>
        <w:t>Action Description with journal page number</w:t>
      </w:r>
      <w:r w:rsidRPr="001C2B8D">
        <w:rPr>
          <w:u w:val="single"/>
        </w:rPr>
        <w:tab/>
      </w:r>
    </w:p>
    <w:p w:rsidR="00010774" w:rsidRDefault="00010774" w:rsidP="00010774">
      <w:pPr>
        <w:widowControl w:val="0"/>
        <w:tabs>
          <w:tab w:val="right" w:pos="1008"/>
          <w:tab w:val="left" w:pos="1152"/>
          <w:tab w:val="left" w:pos="1872"/>
          <w:tab w:val="left" w:pos="9187"/>
        </w:tabs>
        <w:ind w:left="2088" w:hanging="2088"/>
      </w:pPr>
      <w:r>
        <w:tab/>
        <w:t>2/16/2012</w:t>
      </w:r>
      <w:r>
        <w:tab/>
        <w:t>Senate</w:t>
      </w:r>
      <w:r>
        <w:tab/>
      </w:r>
      <w:r w:rsidRPr="00107E95">
        <w:t>Introduced and read first time (</w:t>
      </w:r>
      <w:hyperlink r:id="rId6" w:history="1">
        <w:r w:rsidRPr="00107E95">
          <w:rPr>
            <w:rStyle w:val="Hyperlink"/>
          </w:rPr>
          <w:t>Senate Journal</w:t>
        </w:r>
        <w:r w:rsidRPr="00107E95">
          <w:rPr>
            <w:rStyle w:val="Hyperlink"/>
          </w:rPr>
          <w:noBreakHyphen/>
          <w:t>page 4</w:t>
        </w:r>
      </w:hyperlink>
      <w:r w:rsidRPr="00107E95">
        <w:t>)</w:t>
      </w:r>
    </w:p>
    <w:p w:rsidR="00010774" w:rsidRDefault="00010774" w:rsidP="00010774">
      <w:pPr>
        <w:widowControl w:val="0"/>
        <w:tabs>
          <w:tab w:val="right" w:pos="1008"/>
          <w:tab w:val="left" w:pos="1152"/>
          <w:tab w:val="left" w:pos="1872"/>
          <w:tab w:val="left" w:pos="9187"/>
        </w:tabs>
        <w:ind w:left="2088" w:hanging="2088"/>
      </w:pPr>
      <w:r>
        <w:tab/>
        <w:t>2/16/2012</w:t>
      </w:r>
      <w:r>
        <w:tab/>
        <w:t>Senate</w:t>
      </w:r>
      <w:r>
        <w:tab/>
      </w:r>
      <w:r w:rsidRPr="00107E95">
        <w:t xml:space="preserve">Referred to Committee on </w:t>
      </w:r>
      <w:r w:rsidRPr="00107E95">
        <w:rPr>
          <w:b/>
        </w:rPr>
        <w:t>Judiciary</w:t>
      </w:r>
      <w:r w:rsidRPr="00107E95">
        <w:t xml:space="preserve"> (</w:t>
      </w:r>
      <w:hyperlink r:id="rId7" w:history="1">
        <w:r w:rsidRPr="00107E95">
          <w:rPr>
            <w:rStyle w:val="Hyperlink"/>
          </w:rPr>
          <w:t>Senate Journal</w:t>
        </w:r>
        <w:r w:rsidRPr="00107E95">
          <w:rPr>
            <w:rStyle w:val="Hyperlink"/>
          </w:rPr>
          <w:noBreakHyphen/>
          <w:t>page 4</w:t>
        </w:r>
      </w:hyperlink>
      <w:r w:rsidRPr="00107E95">
        <w:t>)</w:t>
      </w:r>
    </w:p>
    <w:p w:rsidR="00010774" w:rsidRDefault="00010774" w:rsidP="00010774">
      <w:pPr>
        <w:widowControl w:val="0"/>
        <w:tabs>
          <w:tab w:val="right" w:pos="1008"/>
          <w:tab w:val="left" w:pos="1152"/>
          <w:tab w:val="left" w:pos="1872"/>
          <w:tab w:val="left" w:pos="9187"/>
        </w:tabs>
        <w:ind w:left="2088" w:hanging="2088"/>
      </w:pPr>
      <w:r>
        <w:tab/>
        <w:t>2/28/2012</w:t>
      </w:r>
      <w:r>
        <w:tab/>
        <w:t>Senate</w:t>
      </w:r>
      <w:r>
        <w:tab/>
      </w:r>
      <w:r w:rsidRPr="00107E95">
        <w:t>Referred to Subco</w:t>
      </w:r>
      <w:r>
        <w:t xml:space="preserve">mmittee: L.Martin (ch), Rankin, </w:t>
      </w:r>
      <w:r w:rsidRPr="00107E95">
        <w:t>Hutto, Bright, Davis</w:t>
      </w:r>
    </w:p>
    <w:p w:rsidR="00010774" w:rsidRDefault="00010774" w:rsidP="00010774">
      <w:pPr>
        <w:widowControl w:val="0"/>
        <w:tabs>
          <w:tab w:val="right" w:pos="1008"/>
          <w:tab w:val="left" w:pos="1152"/>
          <w:tab w:val="left" w:pos="1872"/>
          <w:tab w:val="left" w:pos="9187"/>
        </w:tabs>
        <w:ind w:left="2088" w:hanging="2088"/>
      </w:pPr>
    </w:p>
    <w:p w:rsidR="001C2B8D" w:rsidRPr="001C2B8D" w:rsidRDefault="001C2B8D" w:rsidP="001C2B8D">
      <w:pPr>
        <w:widowControl w:val="0"/>
        <w:tabs>
          <w:tab w:val="right" w:pos="1008"/>
          <w:tab w:val="left" w:pos="1152"/>
          <w:tab w:val="left" w:pos="1872"/>
          <w:tab w:val="left" w:pos="9187"/>
        </w:tabs>
        <w:ind w:left="2088" w:hanging="2088"/>
      </w:pPr>
    </w:p>
    <w:p w:rsidR="001C2B8D" w:rsidRDefault="001C2B8D" w:rsidP="001C2B8D">
      <w:pPr>
        <w:widowControl w:val="0"/>
      </w:pPr>
      <w:r w:rsidRPr="001C2B8D">
        <w:rPr>
          <w:b/>
        </w:rPr>
        <w:t>VERSIONS OF THIS BILL</w:t>
      </w:r>
    </w:p>
    <w:p w:rsidR="001C2B8D" w:rsidRDefault="001C2B8D" w:rsidP="001C2B8D">
      <w:pPr>
        <w:widowControl w:val="0"/>
      </w:pPr>
    </w:p>
    <w:p w:rsidR="001C2B8D" w:rsidRDefault="003449B5" w:rsidP="001C2B8D">
      <w:pPr>
        <w:widowControl w:val="0"/>
      </w:pPr>
      <w:hyperlink r:id="rId8" w:history="1">
        <w:r w:rsidR="001C2B8D">
          <w:rPr>
            <w:rStyle w:val="Hyperlink"/>
          </w:rPr>
          <w:t>2/16/2012</w:t>
        </w:r>
      </w:hyperlink>
    </w:p>
    <w:p w:rsidR="001C2B8D" w:rsidRDefault="001C2B8D" w:rsidP="001C2B8D"/>
    <w:p w:rsidR="001C2B8D" w:rsidRDefault="001C2B8D" w:rsidP="001C2B8D">
      <w:pPr>
        <w:sectPr w:rsidR="001C2B8D" w:rsidSect="001C2B8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023" w:rsidRPr="001439DC"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439DC">
        <w:rPr>
          <w:rFonts w:eastAsia="Times New Roman"/>
          <w:color w:val="000000" w:themeColor="text1"/>
          <w:u w:color="000000" w:themeColor="text1"/>
        </w:rPr>
        <w:t>TO AMEND THE CODE OF LAWS OF SOUTH CAROLINA, 1976, BY ADDING CHAPTER 85 TO TITLE 15, SO AS TO ENACT THE “SOUTH CAROLINA TA</w:t>
      </w:r>
      <w:r>
        <w:rPr>
          <w:rFonts w:eastAsia="Times New Roman"/>
          <w:color w:val="000000" w:themeColor="text1"/>
          <w:u w:color="000000" w:themeColor="text1"/>
        </w:rPr>
        <w:t>X</w:t>
      </w:r>
      <w:r w:rsidRPr="001439DC">
        <w:rPr>
          <w:rFonts w:eastAsia="Times New Roman"/>
          <w:color w:val="000000" w:themeColor="text1"/>
          <w:u w:color="000000" w:themeColor="text1"/>
        </w:rPr>
        <w:t>PAYER RELIEF ACT”</w:t>
      </w:r>
      <w:r>
        <w:rPr>
          <w:rFonts w:eastAsia="Times New Roman"/>
          <w:color w:val="000000" w:themeColor="text1"/>
          <w:u w:color="000000" w:themeColor="text1"/>
        </w:rPr>
        <w:t>,</w:t>
      </w:r>
      <w:r w:rsidRPr="001439DC">
        <w:rPr>
          <w:rFonts w:eastAsia="Times New Roman"/>
          <w:color w:val="000000" w:themeColor="text1"/>
          <w:u w:color="000000" w:themeColor="text1"/>
        </w:rPr>
        <w:t xml:space="preserve"> PROVIDING FOR DEFINITIONS OF CERTAIN TERMS, LIABILITY FOR FALSE OR FRAUDULENT CLAIMS UNDER CERTAIN CIRCUMSTANCES, PROCEDURES FOR CIVIL ACTIONS FOR FALSE CLAIMS, THE PROCEDURE AND CONTENTS OF CIVIL INVESTIGATIVE DEMANDS, AND CREATING THE STATE TAXPAYER RELIEF ACT INVESTIGATION AND PROSECUTION FUND.</w:t>
      </w:r>
    </w:p>
    <w:p w:rsidR="008F17EA" w:rsidRDefault="008F1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17EA" w:rsidRDefault="008F1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17EA" w:rsidRDefault="008F1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34AAF">
        <w:rPr>
          <w:rFonts w:eastAsia="Times New Roman"/>
          <w:color w:val="000000" w:themeColor="text1"/>
          <w:u w:color="000000" w:themeColor="text1"/>
        </w:rPr>
        <w:t>SECTION</w:t>
      </w:r>
      <w:r w:rsidRPr="00E34AAF">
        <w:rPr>
          <w:rFonts w:eastAsia="Times New Roman"/>
          <w:color w:val="000000" w:themeColor="text1"/>
          <w:u w:color="000000" w:themeColor="text1"/>
        </w:rPr>
        <w:tab/>
        <w:t>1.</w:t>
      </w:r>
      <w:r w:rsidRPr="00E34AAF">
        <w:rPr>
          <w:rFonts w:eastAsia="Times New Roman"/>
          <w:color w:val="000000" w:themeColor="text1"/>
          <w:u w:color="000000" w:themeColor="text1"/>
        </w:rPr>
        <w:tab/>
        <w:t>Title 15 of the 1976 Code is amended by adding:</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E34AAF">
        <w:rPr>
          <w:rFonts w:eastAsia="Times New Roman"/>
          <w:color w:val="000000" w:themeColor="text1"/>
          <w:u w:color="000000" w:themeColor="text1"/>
        </w:rPr>
        <w:t>CHAPTER 85</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34AAF">
        <w:rPr>
          <w:rFonts w:eastAsia="Times New Roman"/>
          <w:color w:val="000000" w:themeColor="text1"/>
          <w:u w:color="000000" w:themeColor="text1"/>
        </w:rPr>
        <w:t>South Carolina Taxpayer Relief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34AAF">
        <w:rPr>
          <w:rFonts w:eastAsia="Times New Roman"/>
          <w:color w:val="000000" w:themeColor="text1"/>
          <w:u w:color="000000" w:themeColor="text1"/>
        </w:rPr>
        <w:tab/>
        <w:t>Section 15</w:t>
      </w:r>
      <w:r w:rsidRPr="00E34AAF">
        <w:rPr>
          <w:rFonts w:eastAsia="Times New Roman"/>
          <w:color w:val="000000" w:themeColor="text1"/>
          <w:u w:color="000000" w:themeColor="text1"/>
        </w:rPr>
        <w:noBreakHyphen/>
        <w:t>85</w:t>
      </w:r>
      <w:r w:rsidRPr="00E34AAF">
        <w:rPr>
          <w:rFonts w:eastAsia="Times New Roman"/>
          <w:color w:val="000000" w:themeColor="text1"/>
          <w:u w:color="000000" w:themeColor="text1"/>
        </w:rPr>
        <w:noBreakHyphen/>
      </w:r>
      <w:r>
        <w:rPr>
          <w:rFonts w:eastAsia="Times New Roman"/>
          <w:color w:val="000000" w:themeColor="text1"/>
          <w:u w:color="000000" w:themeColor="text1"/>
        </w:rPr>
        <w:t>10.</w:t>
      </w:r>
      <w:r w:rsidRPr="00E34AAF">
        <w:rPr>
          <w:rFonts w:eastAsia="Times New Roman"/>
          <w:color w:val="000000" w:themeColor="text1"/>
          <w:u w:color="000000" w:themeColor="text1"/>
        </w:rPr>
        <w:tab/>
        <w:t>This chapter may be cited as the ‘South Carolina Taxpayer Relief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r>
      <w:r>
        <w:rPr>
          <w:rFonts w:eastAsia="Times New Roman"/>
          <w:snapToGrid w:val="0"/>
          <w:color w:val="000000" w:themeColor="text1"/>
          <w:szCs w:val="20"/>
          <w:u w:color="000000" w:themeColor="text1"/>
        </w:rPr>
        <w:t>20.</w:t>
      </w:r>
      <w:r w:rsidRPr="00E34AAF">
        <w:rPr>
          <w:rFonts w:eastAsia="Times New Roman"/>
          <w:snapToGrid w:val="0"/>
          <w:color w:val="000000" w:themeColor="text1"/>
          <w:szCs w:val="20"/>
          <w:u w:color="000000" w:themeColor="text1"/>
        </w:rPr>
        <w:tab/>
        <w:t>As used in this chapter, the term:</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necessary to use or interpret data compilations, and other products of discovery.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‘Guard’ means the South Carolina National Guard.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(6)</w:t>
      </w:r>
      <w:r w:rsidRPr="00E34AAF">
        <w:rPr>
          <w:rFonts w:eastAsia="Times New Roman"/>
          <w:snapToGrid w:val="0"/>
          <w:color w:val="000000" w:themeColor="text1"/>
          <w:szCs w:val="20"/>
          <w:u w:color="000000" w:themeColor="text1"/>
        </w:rPr>
        <w:tab/>
        <w:t>‘Medicaid Fraud Control Unit’ means the South Carolina Medicaid Fraud Control Unit certified pursuant to federal law.</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(7)</w:t>
      </w:r>
      <w:r w:rsidRPr="00E34AAF">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(8)</w:t>
      </w:r>
      <w:r w:rsidRPr="00E34AAF">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(9)</w:t>
      </w:r>
      <w:r w:rsidRPr="00E34AAF">
        <w:rPr>
          <w:rFonts w:eastAsia="Times New Roman"/>
          <w:snapToGrid w:val="0"/>
          <w:color w:val="000000" w:themeColor="text1"/>
          <w:szCs w:val="20"/>
          <w:u w:color="000000" w:themeColor="text1"/>
        </w:rPr>
        <w:tab/>
        <w:t>‘Product of discovery’ includes: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 digest, analysis, selection, compilation, or derivation of an item listed in item (a);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an index or other manner of access to an item listed in item (a).</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(10)</w:t>
      </w:r>
      <w:r w:rsidRPr="00E34AAF">
        <w:rPr>
          <w:rFonts w:eastAsia="Times New Roman"/>
          <w:snapToGrid w:val="0"/>
          <w:color w:val="000000" w:themeColor="text1"/>
          <w:szCs w:val="20"/>
          <w:u w:color="000000" w:themeColor="text1"/>
        </w:rPr>
        <w:tab/>
        <w:t>‘qui tam plaintiff” means a person who brings a civil action pursuant to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(11)</w:t>
      </w:r>
      <w:r w:rsidRPr="00E34AAF">
        <w:rPr>
          <w:rFonts w:eastAsia="Times New Roman"/>
          <w:snapToGrid w:val="0"/>
          <w:color w:val="000000" w:themeColor="text1"/>
          <w:szCs w:val="20"/>
          <w:u w:color="000000" w:themeColor="text1"/>
        </w:rPr>
        <w:tab/>
        <w:t>‘State’ means the State of South Carolina.</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As used in this section, the term:</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‘Knowing’ and ‘knowingly’ mean, with respect to information, that a person, with no proof of specific intent to defraud is required: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has actual knowledge of the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acts in deliberate ignorance of the truth or falsity of the information;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acts in reckless disregard of the truth or falsity of the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 that is: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presented directly to an officer, employee, or an agent of the State,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‘Obligation’ means an established duty whether or not fixed, arising from an express or implied contractual, grantor</w:t>
      </w:r>
      <w:r w:rsidRPr="00E34AAF">
        <w:rPr>
          <w:rFonts w:eastAsia="Times New Roman"/>
          <w:snapToGrid w:val="0"/>
          <w:color w:val="000000" w:themeColor="text1"/>
          <w:szCs w:val="20"/>
          <w:u w:color="000000" w:themeColor="text1"/>
        </w:rPr>
        <w:noBreakHyphen/>
        <w:t>grantee, or licensor</w:t>
      </w:r>
      <w:r w:rsidRPr="00E34AAF">
        <w:rPr>
          <w:rFonts w:eastAsia="Times New Roman"/>
          <w:snapToGrid w:val="0"/>
          <w:color w:val="000000" w:themeColor="text1"/>
          <w:szCs w:val="20"/>
          <w:u w:color="000000" w:themeColor="text1"/>
        </w:rPr>
        <w:noBreakHyphen/>
        <w:t>licensee relationship, from a fee</w:t>
      </w:r>
      <w:r w:rsidRPr="00E34AAF">
        <w:rPr>
          <w:rFonts w:eastAsia="Times New Roman"/>
          <w:snapToGrid w:val="0"/>
          <w:color w:val="000000" w:themeColor="text1"/>
          <w:szCs w:val="20"/>
          <w:u w:color="000000" w:themeColor="text1"/>
        </w:rPr>
        <w:noBreakHyphen/>
        <w:t>based or similar relationship, from statue or regulation, or from retention of any overpayment.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 person who commits any of the following acts shall be liable to the State for three times the amount of damages which the State sustains because of the act of that person.  A person who commits any of the following acts shall</w:t>
      </w:r>
      <w:r>
        <w:rPr>
          <w:rFonts w:eastAsia="Times New Roman"/>
          <w:snapToGrid w:val="0"/>
          <w:color w:val="000000" w:themeColor="text1"/>
          <w:szCs w:val="20"/>
          <w:u w:color="000000" w:themeColor="text1"/>
        </w:rPr>
        <w:t xml:space="preserve"> </w:t>
      </w:r>
      <w:r w:rsidRPr="00E34AAF">
        <w:rPr>
          <w:rFonts w:eastAsia="Times New Roman"/>
          <w:snapToGrid w:val="0"/>
          <w:color w:val="000000" w:themeColor="text1"/>
          <w:szCs w:val="20"/>
          <w:u w:color="000000" w:themeColor="text1"/>
        </w:rPr>
        <w:t>also be liable to the State for the costs of a civil action brought to recover any of those penalties or damages, and shall be liable to the State for a civil penalty of not less than five thousand five hundred dollars and not more than eleven thousand dollars for each violation, as adjusted in accordance with the inflation procedures prescribed in the Federal Civil Penalties Inflation Adjustment Act of 1990 (28 U.S.C. 2461 note; Public Law 104</w:t>
      </w:r>
      <w:r w:rsidRPr="00E34AAF">
        <w:rPr>
          <w:rFonts w:eastAsia="Times New Roman"/>
          <w:snapToGrid w:val="0"/>
          <w:color w:val="000000" w:themeColor="text1"/>
          <w:szCs w:val="20"/>
          <w:u w:color="000000" w:themeColor="text1"/>
        </w:rPr>
        <w:noBreakHyphen/>
        <w:t>410):</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knowingly presents or causes to be presented a false or fraudulent claim for payment or approval;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conspires to commit a violation of the South Carolina False Claims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(6)</w:t>
      </w:r>
      <w:r w:rsidRPr="00E34AAF">
        <w:rPr>
          <w:rFonts w:eastAsia="Times New Roman"/>
          <w:snapToGrid w:val="0"/>
          <w:color w:val="000000" w:themeColor="text1"/>
          <w:szCs w:val="20"/>
          <w:u w:color="000000" w:themeColor="text1"/>
        </w:rPr>
        <w:tab/>
        <w:t>is authorized to make or deliver a document certifying receipt of property used or to be used by the State and knowingly makes or delivers a receipt that falsely represents the property used or to be used;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(7)</w:t>
      </w:r>
      <w:r w:rsidRPr="00E34AAF">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(8)</w:t>
      </w:r>
      <w:r w:rsidRPr="00E34AAF">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(9)</w:t>
      </w:r>
      <w:r w:rsidRPr="00E34AAF">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Notwithstanding subdivision (B), the court may assess not less than two times the amount of damages which the State sustains because of the act of the person described in that subdivision, and no civil penalty, if the court finds all of the following:</w:t>
      </w:r>
      <w:r w:rsidRPr="00E34AAF">
        <w:rPr>
          <w:rFonts w:eastAsia="Times New Roman"/>
          <w:snapToGrid w:val="0"/>
          <w:color w:val="000000" w:themeColor="text1"/>
          <w:szCs w:val="20"/>
          <w:u w:color="000000" w:themeColor="text1"/>
        </w:rPr>
        <w:cr/>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the person fully cooperated with any investigation by the State;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This section does not apply to claims, records, or statements made under the South Carolina Income Tax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Attorney General shall diligently investigate a civil violation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If the Attorney General finds that a person has violated or is violating the provisions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the Attorney General may bring a civil action pursuant to this section against the person.  An action brought pursuant to this section must be filed in Richland County.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For an action by a private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A person may bring a civil action for a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for the person and for the State.  The action must be brought in the name of the State.  The action may be dismissed only if the court and the Attorney General give written consent to the dismissal and their reasons for consenting.  An action brought pursuant to this section must be filed in Richland County.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Before the expiration of the sixty</w:t>
      </w:r>
      <w:r w:rsidRPr="00E34AAF">
        <w:rPr>
          <w:rFonts w:eastAsia="Times New Roman"/>
          <w:snapToGrid w:val="0"/>
          <w:color w:val="000000" w:themeColor="text1"/>
          <w:szCs w:val="20"/>
          <w:u w:color="000000" w:themeColor="text1"/>
        </w:rPr>
        <w:noBreakHyphen/>
        <w:t>day period or an extension obtained pursuant to item (3), the State shall: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proceed with the action, in which case the action must be conducted by the State,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In qui tam actions: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If the State proceeds with the action, it has the primary responsibility for prosecuting the action, and is not bound by an act of the qui tam plaintiff bringing the action.  The person has the right to continue as a party to the action, subject to the limitations provided in item (3).</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If the State proceeds, 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(3)(a)</w:t>
      </w:r>
      <w:r w:rsidRPr="00E34AAF">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w:t>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limiting the number of witnesses the person may call;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(ii)</w:t>
      </w:r>
      <w:r w:rsidRPr="00E34AAF">
        <w:rPr>
          <w:rFonts w:eastAsia="Times New Roman"/>
          <w:snapToGrid w:val="0"/>
          <w:color w:val="000000" w:themeColor="text1"/>
          <w:szCs w:val="20"/>
          <w:u w:color="000000" w:themeColor="text1"/>
        </w:rPr>
        <w:tab/>
        <w:t>limiting the length of the testimony of the witnesses;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(iii)</w:t>
      </w:r>
      <w:r w:rsidRPr="00E34AAF">
        <w:rPr>
          <w:rFonts w:eastAsia="Times New Roman"/>
          <w:snapToGrid w:val="0"/>
          <w:color w:val="000000" w:themeColor="text1"/>
          <w:szCs w:val="20"/>
          <w:u w:color="000000" w:themeColor="text1"/>
        </w:rPr>
        <w:tab/>
        <w:t>limiting the person’s cross</w:t>
      </w:r>
      <w:r w:rsidRPr="00E34AAF">
        <w:rPr>
          <w:rFonts w:eastAsia="Times New Roman"/>
          <w:snapToGrid w:val="0"/>
          <w:color w:val="000000" w:themeColor="text1"/>
          <w:szCs w:val="20"/>
          <w:u w:color="000000" w:themeColor="text1"/>
        </w:rPr>
        <w:noBreakHyphen/>
        <w:t>examination of witnesses;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(iv)</w:t>
      </w:r>
      <w:r w:rsidRPr="00E34AAF">
        <w:rPr>
          <w:rFonts w:eastAsia="Times New Roman"/>
          <w:snapToGrid w:val="0"/>
          <w:color w:val="000000" w:themeColor="text1"/>
          <w:szCs w:val="20"/>
          <w:u w:color="000000" w:themeColor="text1"/>
        </w:rPr>
        <w:tab/>
        <w:t>otherwise limiting the participation by the person in the litigation.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If the State elects not to proceed with the action, the qui tam plaintiff who initiated the action has the right to conduct the action.  If the State requests, it must be served with copies of all pleadings filed in the action and must be supplied with copies of all deposition transcripts at the state’s expense.  When a qui tam plaintiff proceeds with the action, the court, without limiting the status and rights of the qui tam plaintiff initiating the action, may permit the State to intervene at a later date upon a showing of good cause.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Whether or not the State proceeds with the action, upon a showing by the State that certain actions of discovery by the qui tam plaintiff initiating the action would interfere with the state’s investigation or prosecution of a criminal or civil matter arising out of the same facts, the court may stay discovery for a period of not more than sixty days.  This showing must be conducted in camera.  The court may extend the sixty</w:t>
      </w:r>
      <w:r w:rsidRPr="00E34AAF">
        <w:rPr>
          <w:rFonts w:eastAsia="Times New Roman"/>
          <w:snapToGrid w:val="0"/>
          <w:color w:val="000000" w:themeColor="text1"/>
          <w:szCs w:val="20"/>
          <w:u w:color="000000" w:themeColor="text1"/>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qui tam plaintiff initiating the action has the same rights in the proceeding as the qui tam plaintiff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In an award to a qui tam plaintiff:</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If the State proceeds with an action brought by a qui tam plaintiff pursuant to subsection (B), the qui tam plaintiff shall receive at least fifteen percent but not more than twenty</w:t>
      </w:r>
      <w:r w:rsidRPr="00E34AAF">
        <w:rPr>
          <w:rFonts w:eastAsia="Times New Roman"/>
          <w:snapToGrid w:val="0"/>
          <w:color w:val="000000" w:themeColor="text1"/>
          <w:szCs w:val="20"/>
          <w:u w:color="000000" w:themeColor="text1"/>
        </w:rPr>
        <w:noBreakHyphen/>
        <w:t>five percent of the proceeds of the action or settlement of the claim, depending upon the extent to which the qui tam plaintiff substantially contributed to the prosecution of the action and subject to the limitations of this item.  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  Payment to a qui tam plaintiff pursuant to the provisions of this item must be made from the proceeds.  This person also shall receive an amount for reasonable expenses which the court finds to have been necessarily incurred, plus reasonable attorney’s fees and costs.  The State also shall receive an amount for reasonable expenses which the court finds to have been necessarily incurred by the Attorney General, including reasonable attorney’s fees and costs, which must be paid directly to the Attorney General.  All expenses, fees, and costs must be awarded against the defendant.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w:t>
      </w:r>
      <w:r w:rsidRPr="00E34AAF">
        <w:rPr>
          <w:rFonts w:eastAsia="Times New Roman"/>
          <w:snapToGrid w:val="0"/>
          <w:color w:val="000000" w:themeColor="text1"/>
          <w:szCs w:val="20"/>
          <w:u w:color="000000" w:themeColor="text1"/>
        </w:rPr>
        <w:noBreakHyphen/>
        <w:t>five percent and not more than thirty percent of the proceeds of the action or settlement and must be paid out of the proceeds.  The person also shall receive an amount for reasonable expenses which the court finds to have been necessarily incurred, plus reasonable attorney’s fees and costs.  All expenses, fees, and costs must be awarded against the defendant.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  If the person bringing the action is convicted of criminal conduct arising from his role in the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that person must be dismissed from the civil action and shall not receive a share of the proceeds of the action.  A dismissal does not prejudice the right of the State or other qui tam plaintiffs to continue the action.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If the State does not proceed with the action and the person bringing the action conducts the action, the court may award to the defendant its reasonable attorney’s fees and expenses if the defendant prevails in the action and the court finds by clear and convincing evidence that the claim of the person bringing the action was clearly frivolous, clearly vexatious, or brought primarily for purposes of harassment.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(E)(1)</w:t>
      </w:r>
      <w:r w:rsidRPr="00E34AAF">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Adjutant General, the Assistant Adjutant General, members of state boards and commissions, and all other positions appointed by the Governor by and with the consent of the Senate.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(4)(a)</w:t>
      </w:r>
      <w:r w:rsidRPr="00E34AAF">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w:t>
      </w:r>
      <w:r w:rsidRPr="00E34AAF">
        <w:rPr>
          <w:rFonts w:eastAsia="Times New Roman"/>
          <w:snapToGrid w:val="0"/>
          <w:color w:val="000000" w:themeColor="text1"/>
          <w:szCs w:val="20"/>
          <w:u w:color="000000" w:themeColor="text1"/>
        </w:rPr>
        <w:tab/>
        <w:t>in a criminal, civil, or administrative hearing, in which the State or its agent is a party;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(ii)</w:t>
      </w:r>
      <w:r w:rsidRPr="00E34AAF">
        <w:rPr>
          <w:rFonts w:eastAsia="Times New Roman"/>
          <w:snapToGrid w:val="0"/>
          <w:color w:val="000000" w:themeColor="text1"/>
          <w:szCs w:val="20"/>
          <w:u w:color="000000" w:themeColor="text1"/>
        </w:rPr>
        <w:tab/>
        <w:t>in a legislative, government accountability office, or other State report, hearing, audit, or investigation;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(iii)</w:t>
      </w:r>
      <w:r w:rsidRPr="00E34AAF">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 xml:space="preserve">For purposes of this paragraph, ‘original source’ means an individual who either: (i) prior to a public disclosure under subsection(E)(4)(a)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(F)</w:t>
      </w:r>
      <w:r w:rsidRPr="00E34AAF">
        <w:rPr>
          <w:rFonts w:eastAsia="Times New Roman"/>
          <w:snapToGrid w:val="0"/>
          <w:color w:val="000000" w:themeColor="text1"/>
          <w:szCs w:val="20"/>
          <w:u w:color="000000" w:themeColor="text1"/>
        </w:rPr>
        <w:tab/>
        <w:t>The State is not liable for expenses which a person incurs in bringing an action pursuant to this section.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(G)</w:t>
      </w:r>
      <w:r w:rsidRPr="00E34AAF">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  because of lawful acts done by the employee, contractor, agent, or associated others in furtherance of an action under this section or other efforts to stop one or more violations of this subchapter,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(H)</w:t>
      </w:r>
      <w:r w:rsidRPr="00E34AAF">
        <w:rPr>
          <w:rFonts w:eastAsia="Times New Roman"/>
          <w:snapToGrid w:val="0"/>
          <w:color w:val="000000" w:themeColor="text1"/>
          <w:szCs w:val="20"/>
          <w:u w:color="000000" w:themeColor="text1"/>
        </w:rPr>
        <w:tab/>
        <w:t>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litigation costs and reasonable attorneys’ fees.  An action under this subsection may be brought in the appropriate circuit court for the relief provided in this subsection.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(I)</w:t>
      </w:r>
      <w:r w:rsidRPr="00E34AAF">
        <w:rPr>
          <w:rFonts w:eastAsia="Times New Roman"/>
          <w:snapToGrid w:val="0"/>
          <w:color w:val="000000" w:themeColor="text1"/>
          <w:szCs w:val="20"/>
          <w:u w:color="000000" w:themeColor="text1"/>
        </w:rPr>
        <w:tab/>
        <w:t xml:space="preserve">A civil action under this subsection may not be brought more than three years after the date when the retaliation occurred.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50.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A subpoena requiring the attendance of a witness at a trial or hearing conducted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 may be served at any place in the State.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 civil action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 may not be brought: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more than six years after the date on which the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is committed;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If the State proceeds, 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In an action brought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 the State is required to prove all essential elements of the cause of action, including damages, by a preponderance of the evidence.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w:t>
      </w:r>
      <w:r w:rsidRPr="00E34AAF">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40(A) or (B).</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Whenever the Attorney General, or a designee (for purposes of this section), has reason to believe that a 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produce documentary material for inspection and copying;</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answer, in writing, written interrogatories with respect to documentary material or information;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give oral testimony concerning documentary material or information;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furnish a combination of material, answers, or testimony.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 xml:space="preserve">The Attorney General may delegate the authority to issue civil investigative demands under this subsection. 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  Any information obtained by the Attorney General or a designee of the Attorney General under this section may be shared with any qui tam plaintiff if the Attorney General or designee determine it is necessary as part of any false claims act investigation.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If the demand is for the production of documentary material, the demand must: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prescribe a return date for each class which will provide a reasonable period of time within which the material demanded may be assembled and made available for inspection and copying;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identify the investigator to whom the material must be made available.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w:t>
      </w:r>
      <w:r w:rsidRPr="00E34AAF">
        <w:rPr>
          <w:rFonts w:eastAsia="Times New Roman"/>
          <w:snapToGrid w:val="0"/>
          <w:color w:val="000000" w:themeColor="text1"/>
          <w:szCs w:val="20"/>
          <w:u w:color="000000" w:themeColor="text1"/>
        </w:rPr>
        <w:tab/>
        <w:t>If the demand is for answers to written interrogatories, the demand must: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list with specificity the written interrogatories to be answered;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prescribe dates at which time answers to written interrogatories must be submitted;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identify the investigator to whom the answers must be submitted.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(F)</w:t>
      </w:r>
      <w:r w:rsidRPr="00E34AAF">
        <w:rPr>
          <w:rFonts w:eastAsia="Times New Roman"/>
          <w:snapToGrid w:val="0"/>
          <w:color w:val="000000" w:themeColor="text1"/>
          <w:szCs w:val="20"/>
          <w:u w:color="000000" w:themeColor="text1"/>
        </w:rPr>
        <w:tab/>
        <w:t>If the demand is for the giving of oral testimony, the demand must: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prescribe a date, time, and place at which oral testimony must be commenced;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specify that the attendance and testimony are necessary to the conduct of the investigation;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notify the person receiving the demand of the right to be accompanied by an attorney and another representative;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(5)</w:t>
      </w:r>
      <w:r w:rsidRPr="00E34AAF">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(G)</w:t>
      </w:r>
      <w:r w:rsidRPr="00E34AAF">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(H)</w:t>
      </w:r>
      <w:r w:rsidRPr="00E34AAF">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(I)</w:t>
      </w:r>
      <w:r w:rsidRPr="00E34AAF">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(J)</w:t>
      </w:r>
      <w:r w:rsidRPr="00E34AAF">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subpoenas or subpoenas duces tecum issued by a court of this State to aid in grand jury investigations;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(K)</w:t>
      </w:r>
      <w:r w:rsidRPr="00E34AAF">
        <w:rPr>
          <w:rFonts w:eastAsia="Times New Roman"/>
          <w:snapToGrid w:val="0"/>
          <w:color w:val="000000" w:themeColor="text1"/>
          <w:szCs w:val="20"/>
          <w:u w:color="000000" w:themeColor="text1"/>
        </w:rPr>
        <w:tab/>
        <w:t>Except as provided in this section, a demand which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which the person making the disclosure may be entitled to invoke to resist discovery of trial preparation materials.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70.</w:t>
      </w:r>
      <w:r w:rsidRPr="00E34AAF">
        <w:rPr>
          <w:rFonts w:eastAsia="Times New Roman"/>
          <w:snapToGrid w:val="0"/>
          <w:color w:val="000000" w:themeColor="text1"/>
          <w:szCs w:val="20"/>
          <w:u w:color="000000" w:themeColor="text1"/>
        </w:rPr>
        <w:tab/>
        <w:t>(A)(1)</w:t>
      </w:r>
      <w:r w:rsidRPr="00E34AAF">
        <w:rPr>
          <w:rFonts w:eastAsia="Times New Roman"/>
          <w:snapToGrid w:val="0"/>
          <w:color w:val="000000" w:themeColor="text1"/>
          <w:szCs w:val="20"/>
          <w:u w:color="000000" w:themeColor="text1"/>
        </w:rPr>
        <w:tab/>
        <w:t>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60(A) may be served by an investigator, or by another person authorized to serve process on individuals within this State.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demand or petition filed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 may be served upon a person who is not found within this State in a manner as the Rules of Civil Procedure and applicable statutory law prescribe for service of process outside this State.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Service of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or of a petition filed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 may be made upon a partnership, corporation, association, or other legal entity by: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delivering an executed copy of the demand or petition to the principal office or place of business of the partnership, corporation, association, or entity;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Service of a demand or petition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or filed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 may be made on a natural person by: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delivering an executed copy of the demand or petition to the person;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A verified return by the individual serving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or a petition filed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 providing the manner of service is proof of service.  In the case of service by registered or certified mail, the return is accompanied by the return post office receipt of delivery of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80.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production of documentary material in response to a civil investigative demand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must be made under a sworn certificate, in a form as the demand designates, by: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the person to whom the demand is directed in the case of a natural person;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90.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Each interrogatory in a civil investigative demand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must be answered separately and fully in writing under oath and must be submitted under a sworn certificate, in a form as the demand designates by: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the person to whom the demand is directed in the case of a natural person;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100.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The oral testimony of a person taken pursuant to a civil investigative demand served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must be taken in the county within which the person resides, is found, or transacts business, or in another place as may be agreed upon by the investigator conducting the examination and the person.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w:t>
      </w:r>
      <w:r w:rsidRPr="00E34AAF">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(F)</w:t>
      </w:r>
      <w:r w:rsidRPr="00E34AAF">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(G)</w:t>
      </w:r>
      <w:r w:rsidRPr="00E34AAF">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Pr="00E34AAF">
        <w:rPr>
          <w:rFonts w:eastAsia="Times New Roman"/>
          <w:snapToGrid w:val="0"/>
          <w:color w:val="000000" w:themeColor="text1"/>
          <w:szCs w:val="20"/>
          <w:u w:color="000000" w:themeColor="text1"/>
        </w:rPr>
        <w:noBreakHyphen/>
        <w:t>incrimination.  If the person refuses to answer a question, a petition may be filed in circuit court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120(A) for an order compelling the person to answer the question.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(H)</w:t>
      </w:r>
      <w:r w:rsidRPr="00E34AAF">
        <w:rPr>
          <w:rFonts w:eastAsia="Times New Roman"/>
          <w:snapToGrid w:val="0"/>
          <w:color w:val="000000" w:themeColor="text1"/>
          <w:szCs w:val="20"/>
          <w:u w:color="000000" w:themeColor="text1"/>
        </w:rPr>
        <w:tab/>
        <w:t>A person appearing for oral testimony pursuant to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is entitled to the same fees and allowances which are paid to witnesses in the circuit court.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110.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documentary material and answers to interrogatories must be available for examination by the person who produced the material or answers, or by a representative for that person authorized by that person to examine the material and answers;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120.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When a person fails to comply with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A person who has received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longer period as may be prescribed in writing by an investigator identified in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(D)</w:t>
      </w:r>
      <w:r w:rsidRPr="00E34AAF">
        <w:rPr>
          <w:rFonts w:eastAsia="Times New Roman"/>
          <w:snapToGrid w:val="0"/>
          <w:color w:val="000000" w:themeColor="text1"/>
          <w:szCs w:val="20"/>
          <w:u w:color="000000" w:themeColor="text1"/>
        </w:rPr>
        <w:tab/>
        <w:t>In the case of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 or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a longer period as may be prescribed in writing by an investigator identified in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(E)</w:t>
      </w:r>
      <w:r w:rsidRPr="00E34AAF">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(F)</w:t>
      </w:r>
      <w:r w:rsidRPr="00E34AAF">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(G)</w:t>
      </w:r>
      <w:r w:rsidRPr="00E34AAF">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punishable as contempt of court.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(H)</w:t>
      </w:r>
      <w:r w:rsidRPr="00E34AAF">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60 is exempt from disclosure under the South Carolina Administrative Procedures Act.</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130.</w:t>
      </w:r>
      <w:r w:rsidRPr="00E34AAF">
        <w:rPr>
          <w:rFonts w:eastAsia="Times New Roman"/>
          <w:snapToGrid w:val="0"/>
          <w:color w:val="000000" w:themeColor="text1"/>
          <w:szCs w:val="20"/>
          <w:u w:color="000000" w:themeColor="text1"/>
        </w:rPr>
        <w:tab/>
        <w:t>(A)</w:t>
      </w:r>
      <w:r w:rsidRPr="00E34AAF">
        <w:rPr>
          <w:rFonts w:eastAsia="Times New Roman"/>
          <w:snapToGrid w:val="0"/>
          <w:color w:val="000000" w:themeColor="text1"/>
          <w:szCs w:val="20"/>
          <w:u w:color="000000" w:themeColor="text1"/>
        </w:rPr>
        <w:tab/>
        <w:t>There is created the State Taxpayer Relief Act Investigation and Prosecution Fund as a special fund in the state treasury, to be administered by the Attorney General.  All proceeds of an action or settlement of a claim brought pursuant to this chapter must be deposited in the fund, except that in cases involving Medicaid, the proceeds deposited will be after repayment of the federal share.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(B)</w:t>
      </w:r>
      <w:r w:rsidRPr="00E34AAF">
        <w:rPr>
          <w:rFonts w:eastAsia="Times New Roman"/>
          <w:snapToGrid w:val="0"/>
          <w:color w:val="000000" w:themeColor="text1"/>
          <w:szCs w:val="20"/>
          <w:u w:color="000000" w:themeColor="text1"/>
        </w:rPr>
        <w:tab/>
        <w:t xml:space="preserve">Monies in the fund must be allocated as follows: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(1)</w:t>
      </w:r>
      <w:r w:rsidRPr="00E34AAF">
        <w:rPr>
          <w:rFonts w:eastAsia="Times New Roman"/>
          <w:snapToGrid w:val="0"/>
          <w:color w:val="000000" w:themeColor="text1"/>
          <w:szCs w:val="20"/>
          <w:u w:color="000000" w:themeColor="text1"/>
        </w:rPr>
        <w:tab/>
        <w:t>twenty</w:t>
      </w:r>
      <w:r w:rsidRPr="00E34AAF">
        <w:rPr>
          <w:rFonts w:eastAsia="Times New Roman"/>
          <w:snapToGrid w:val="0"/>
          <w:color w:val="000000" w:themeColor="text1"/>
          <w:szCs w:val="20"/>
          <w:u w:color="000000" w:themeColor="text1"/>
        </w:rPr>
        <w:noBreakHyphen/>
        <w:t>five percent of the monies must be retained by the Attorney General; and</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the remaining seventy</w:t>
      </w:r>
      <w:r w:rsidRPr="00E34AAF">
        <w:rPr>
          <w:rFonts w:eastAsia="Times New Roman"/>
          <w:snapToGrid w:val="0"/>
          <w:color w:val="000000" w:themeColor="text1"/>
          <w:szCs w:val="20"/>
          <w:u w:color="000000" w:themeColor="text1"/>
        </w:rPr>
        <w:noBreakHyphen/>
        <w:t>five percent of the monies in the fund must be used for payment of awards, calculated on the full amount, to qui tam plaintiffs, as provided in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40(D), and to persons who report, in good faith, a violation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30 pursuant to the provisions of 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130.</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Pr="00E34AAF">
        <w:rPr>
          <w:rFonts w:eastAsia="Times New Roman"/>
          <w:snapToGrid w:val="0"/>
          <w:color w:val="000000" w:themeColor="text1"/>
          <w:szCs w:val="20"/>
          <w:u w:color="000000" w:themeColor="text1"/>
        </w:rPr>
        <w:noBreakHyphen/>
        <w:t>five percent to the Attorney General and seventy</w:t>
      </w:r>
      <w:r w:rsidRPr="00E34AAF">
        <w:rPr>
          <w:rFonts w:eastAsia="Times New Roman"/>
          <w:snapToGrid w:val="0"/>
          <w:color w:val="000000" w:themeColor="text1"/>
          <w:szCs w:val="20"/>
          <w:u w:color="000000" w:themeColor="text1"/>
        </w:rPr>
        <w:noBreakHyphen/>
        <w:t xml:space="preserve">five percent to South Carolina Medicaid.  </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(C)</w:t>
      </w:r>
      <w:r w:rsidRPr="00E34AAF">
        <w:rPr>
          <w:rFonts w:eastAsia="Times New Roman"/>
          <w:snapToGrid w:val="0"/>
          <w:color w:val="000000" w:themeColor="text1"/>
          <w:szCs w:val="20"/>
          <w:u w:color="000000" w:themeColor="text1"/>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ab/>
        <w:t>Section 15</w:t>
      </w:r>
      <w:r w:rsidRPr="00E34AAF">
        <w:rPr>
          <w:rFonts w:eastAsia="Times New Roman"/>
          <w:snapToGrid w:val="0"/>
          <w:color w:val="000000" w:themeColor="text1"/>
          <w:szCs w:val="20"/>
          <w:u w:color="000000" w:themeColor="text1"/>
        </w:rPr>
        <w:noBreakHyphen/>
        <w:t>85</w:t>
      </w:r>
      <w:r w:rsidRPr="00E34AAF">
        <w:rPr>
          <w:rFonts w:eastAsia="Times New Roman"/>
          <w:snapToGrid w:val="0"/>
          <w:color w:val="000000" w:themeColor="text1"/>
          <w:szCs w:val="20"/>
          <w:u w:color="000000" w:themeColor="text1"/>
        </w:rPr>
        <w:noBreakHyphen/>
        <w:t>140.</w:t>
      </w:r>
      <w:r w:rsidRPr="00E34AAF">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SECTION</w:t>
      </w:r>
      <w:r w:rsidRPr="00E34AAF">
        <w:rPr>
          <w:rFonts w:eastAsia="Times New Roman"/>
          <w:snapToGrid w:val="0"/>
          <w:color w:val="000000" w:themeColor="text1"/>
          <w:szCs w:val="20"/>
          <w:u w:color="000000" w:themeColor="text1"/>
        </w:rPr>
        <w:tab/>
        <w:t>2.</w:t>
      </w:r>
      <w:r w:rsidRPr="00E34AAF">
        <w:rPr>
          <w:rFonts w:eastAsia="Times New Roman"/>
          <w:snapToGrid w:val="0"/>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SECTION</w:t>
      </w:r>
      <w:r w:rsidRPr="00E34AAF">
        <w:rPr>
          <w:rFonts w:eastAsia="Times New Roman"/>
          <w:snapToGrid w:val="0"/>
          <w:color w:val="000000" w:themeColor="text1"/>
          <w:szCs w:val="20"/>
          <w:u w:color="000000" w:themeColor="text1"/>
        </w:rPr>
        <w:tab/>
        <w:t>3.</w:t>
      </w:r>
      <w:r w:rsidRPr="00E34AAF">
        <w:rPr>
          <w:rFonts w:eastAsia="Times New Roman"/>
          <w:snapToGrid w:val="0"/>
          <w:color w:val="000000" w:themeColor="text1"/>
          <w:szCs w:val="20"/>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013023" w:rsidRPr="00E34AAF"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522CE0" w:rsidRPr="00013023" w:rsidRDefault="00013023" w:rsidP="0001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E34AAF">
        <w:rPr>
          <w:rFonts w:eastAsia="Times New Roman"/>
          <w:snapToGrid w:val="0"/>
          <w:color w:val="000000" w:themeColor="text1"/>
          <w:szCs w:val="20"/>
          <w:u w:color="000000" w:themeColor="text1"/>
        </w:rPr>
        <w:t>SECTION</w:t>
      </w:r>
      <w:r w:rsidRPr="00E34AAF">
        <w:rPr>
          <w:rFonts w:eastAsia="Times New Roman"/>
          <w:snapToGrid w:val="0"/>
          <w:color w:val="000000" w:themeColor="text1"/>
          <w:szCs w:val="20"/>
          <w:u w:color="000000" w:themeColor="text1"/>
        </w:rPr>
        <w:tab/>
        <w:t>4.</w:t>
      </w:r>
      <w:r w:rsidRPr="00E34AAF">
        <w:rPr>
          <w:rFonts w:eastAsia="Times New Roman"/>
          <w:snapToGrid w:val="0"/>
          <w:color w:val="000000" w:themeColor="text1"/>
          <w:szCs w:val="20"/>
          <w:u w:color="000000" w:themeColor="text1"/>
        </w:rPr>
        <w:tab/>
        <w:t>This act takes effect u</w:t>
      </w:r>
      <w:r>
        <w:rPr>
          <w:rFonts w:eastAsia="Times New Roman"/>
          <w:snapToGrid w:val="0"/>
          <w:color w:val="000000" w:themeColor="text1"/>
          <w:szCs w:val="20"/>
          <w:u w:color="000000" w:themeColor="text1"/>
        </w:rPr>
        <w:t>pon approval by the Governor.</w:t>
      </w:r>
    </w:p>
    <w:p w:rsidR="000C29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294D" w:rsidRDefault="000C294D" w:rsidP="001C2B8D">
      <w:pPr>
        <w:suppressAutoHyphens/>
        <w:jc w:val="both"/>
        <w:rPr>
          <w:rFonts w:eastAsia="Times New Roman"/>
        </w:rPr>
      </w:pPr>
    </w:p>
    <w:sectPr w:rsidR="000C294D" w:rsidSect="001C2B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7EA" w:rsidRDefault="008F17EA" w:rsidP="00522CE0">
      <w:r>
        <w:separator/>
      </w:r>
    </w:p>
  </w:endnote>
  <w:endnote w:type="continuationSeparator" w:id="0">
    <w:p w:rsidR="008F17EA" w:rsidRDefault="008F17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F862B9-141A-4951-A488-081FAD9D63F3}"/>
    <w:embedBold r:id="rId2" w:fontKey="{5BA08A80-4FCF-4C06-B8ED-EA02667BD40A}"/>
  </w:font>
  <w:font w:name="Calibri">
    <w:panose1 w:val="020F0502020204030204"/>
    <w:charset w:val="00"/>
    <w:family w:val="swiss"/>
    <w:pitch w:val="variable"/>
    <w:sig w:usb0="E10002FF" w:usb1="4000ACFF" w:usb2="00000009" w:usb3="00000000" w:csb0="0000019F" w:csb1="00000000"/>
    <w:embedRegular r:id="rId3" w:fontKey="{1BCFDA78-EF24-4939-8830-E9FA8A1C466A}"/>
    <w:embedBold r:id="rId4" w:fontKey="{8EB12563-8C9A-4EF9-872E-47EE8C14B52A}"/>
  </w:font>
  <w:font w:name="Cambria">
    <w:panose1 w:val="02040503050406030204"/>
    <w:charset w:val="00"/>
    <w:family w:val="roman"/>
    <w:pitch w:val="variable"/>
    <w:sig w:usb0="E00002FF" w:usb1="400004FF" w:usb2="00000000" w:usb3="00000000" w:csb0="0000019F" w:csb1="00000000"/>
    <w:embedRegular r:id="rId5" w:fontKey="{38172D23-6D22-451B-B925-BB0F181826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B8D" w:rsidRPr="000C294D" w:rsidRDefault="001C2B8D" w:rsidP="000C294D">
    <w:pPr>
      <w:pStyle w:val="Footer"/>
      <w:tabs>
        <w:tab w:val="clear" w:pos="4680"/>
        <w:tab w:val="clear" w:pos="9360"/>
        <w:tab w:val="center" w:pos="2995"/>
      </w:tabs>
      <w:spacing w:before="120"/>
    </w:pPr>
    <w:r>
      <w:t>[1233]</w:t>
    </w:r>
    <w:r>
      <w:tab/>
    </w:r>
    <w:r w:rsidR="003449B5">
      <w:fldChar w:fldCharType="begin"/>
    </w:r>
    <w:r w:rsidR="003449B5">
      <w:instrText xml:space="preserve"> PAGE  \* MERGEFORMAT </w:instrText>
    </w:r>
    <w:r w:rsidR="003449B5">
      <w:fldChar w:fldCharType="separate"/>
    </w:r>
    <w:r w:rsidR="003449B5">
      <w:rPr>
        <w:noProof/>
      </w:rPr>
      <w:t>1</w:t>
    </w:r>
    <w:r w:rsidR="003449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7EA" w:rsidRDefault="008F17EA" w:rsidP="00522CE0">
      <w:r>
        <w:separator/>
      </w:r>
    </w:p>
  </w:footnote>
  <w:footnote w:type="continuationSeparator" w:id="0">
    <w:p w:rsidR="008F17EA" w:rsidRDefault="008F17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169.JS"/>
    <w:docVar w:name="CoverAttorneyInitials" w:val="JS"/>
    <w:docVar w:name="CoverAttorneyLastName" w:val="Shuler"/>
    <w:docVar w:name="CoverBillType" w:val="b"/>
    <w:docVar w:name="DraftFileName" w:val="JUD0169.JS.DOCX"/>
    <w:docVar w:name="DraftStenoName" w:val="Craft"/>
    <w:docVar w:name="dvBillNumber" w:val="1233"/>
    <w:docVar w:name="dvBillNumberPrefix" w:val="S. "/>
    <w:docVar w:name="dvOriginalBody" w:val="Senate"/>
    <w:docVar w:name="fulldraftpath" w:val="L:\S-JUD\BILLS\Malloy\JUD0169.JS.DOCX"/>
    <w:docVar w:name="NameofBody" w:val="S"/>
    <w:docVar w:name="SenatorFolderName" w:val="Malloy"/>
    <w:docVar w:name="VGROUP2" w:val="S-JUD"/>
  </w:docVars>
  <w:rsids>
    <w:rsidRoot w:val="00D16B35"/>
    <w:rsid w:val="00010774"/>
    <w:rsid w:val="00013023"/>
    <w:rsid w:val="000141EB"/>
    <w:rsid w:val="00042AC1"/>
    <w:rsid w:val="00046516"/>
    <w:rsid w:val="000A4D08"/>
    <w:rsid w:val="000A6988"/>
    <w:rsid w:val="000B0720"/>
    <w:rsid w:val="000B5EAF"/>
    <w:rsid w:val="000C294D"/>
    <w:rsid w:val="000E473B"/>
    <w:rsid w:val="000F002B"/>
    <w:rsid w:val="00107C3D"/>
    <w:rsid w:val="00126995"/>
    <w:rsid w:val="0016543B"/>
    <w:rsid w:val="00166038"/>
    <w:rsid w:val="00170561"/>
    <w:rsid w:val="00186AC9"/>
    <w:rsid w:val="00190F47"/>
    <w:rsid w:val="00197DF1"/>
    <w:rsid w:val="001B3DD9"/>
    <w:rsid w:val="001C23C9"/>
    <w:rsid w:val="001C2B8D"/>
    <w:rsid w:val="001D3BAC"/>
    <w:rsid w:val="00206D3D"/>
    <w:rsid w:val="002428BB"/>
    <w:rsid w:val="0024519E"/>
    <w:rsid w:val="00245C4E"/>
    <w:rsid w:val="00252BE2"/>
    <w:rsid w:val="00282752"/>
    <w:rsid w:val="002C5896"/>
    <w:rsid w:val="00300211"/>
    <w:rsid w:val="00307C2B"/>
    <w:rsid w:val="0031409E"/>
    <w:rsid w:val="00333DF1"/>
    <w:rsid w:val="0033541C"/>
    <w:rsid w:val="003449B5"/>
    <w:rsid w:val="00347C77"/>
    <w:rsid w:val="00364389"/>
    <w:rsid w:val="003D6A5D"/>
    <w:rsid w:val="003D6E2B"/>
    <w:rsid w:val="003E7597"/>
    <w:rsid w:val="00412C9E"/>
    <w:rsid w:val="00450668"/>
    <w:rsid w:val="00452CD7"/>
    <w:rsid w:val="00477696"/>
    <w:rsid w:val="00494058"/>
    <w:rsid w:val="004952FA"/>
    <w:rsid w:val="004A592F"/>
    <w:rsid w:val="004A7AC9"/>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18DD"/>
    <w:rsid w:val="00641A16"/>
    <w:rsid w:val="006431BA"/>
    <w:rsid w:val="00666DE8"/>
    <w:rsid w:val="006A08F4"/>
    <w:rsid w:val="006B4B3C"/>
    <w:rsid w:val="006C74EA"/>
    <w:rsid w:val="00720239"/>
    <w:rsid w:val="00720D40"/>
    <w:rsid w:val="007318D4"/>
    <w:rsid w:val="00733BC1"/>
    <w:rsid w:val="00746551"/>
    <w:rsid w:val="00765784"/>
    <w:rsid w:val="007A4390"/>
    <w:rsid w:val="007B5A03"/>
    <w:rsid w:val="007C65B0"/>
    <w:rsid w:val="007E3B8F"/>
    <w:rsid w:val="007E5CB7"/>
    <w:rsid w:val="00815739"/>
    <w:rsid w:val="008314D2"/>
    <w:rsid w:val="008804AE"/>
    <w:rsid w:val="00894939"/>
    <w:rsid w:val="008B2F42"/>
    <w:rsid w:val="008E185F"/>
    <w:rsid w:val="008E5870"/>
    <w:rsid w:val="008F023B"/>
    <w:rsid w:val="008F17EA"/>
    <w:rsid w:val="008F7524"/>
    <w:rsid w:val="00904E16"/>
    <w:rsid w:val="00927C62"/>
    <w:rsid w:val="00931A96"/>
    <w:rsid w:val="009374F9"/>
    <w:rsid w:val="00942AB7"/>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9505B"/>
    <w:rsid w:val="00CB187A"/>
    <w:rsid w:val="00CB7F3C"/>
    <w:rsid w:val="00CD7C71"/>
    <w:rsid w:val="00D1088B"/>
    <w:rsid w:val="00D156D2"/>
    <w:rsid w:val="00D16B35"/>
    <w:rsid w:val="00D77EC0"/>
    <w:rsid w:val="00D86943"/>
    <w:rsid w:val="00DA47B9"/>
    <w:rsid w:val="00E6635A"/>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0E526DAE-3270-499A-AA89-1DE6A3EE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C2B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33_20120216.docx" TargetMode="External"/><Relationship Id="rId3" Type="http://schemas.openxmlformats.org/officeDocument/2006/relationships/webSettings" Target="webSettings.xml"/><Relationship Id="rId7" Type="http://schemas.openxmlformats.org/officeDocument/2006/relationships/hyperlink" Target="file:///h:\sj%20archive\2012\02-16-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16-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8024</Words>
  <Characters>40596</Characters>
  <Application>Microsoft Office Word</Application>
  <DocSecurity>4</DocSecurity>
  <Lines>895</Lines>
  <Paragraphs>193</Paragraphs>
  <ScaleCrop>false</ScaleCrop>
  <Company> </Company>
  <LinksUpToDate>false</LinksUpToDate>
  <CharactersWithSpaces>48791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1233: Taxpayer Relief Act - South Carolina Legislature Online</dc:title>
  <dc:subject/>
  <dc:creator>SusanCraft</dc:creator>
  <cp:keywords/>
  <dc:description/>
  <cp:lastModifiedBy>N Cumfer</cp:lastModifiedBy>
  <cp:revision>2</cp:revision>
  <dcterms:created xsi:type="dcterms:W3CDTF">2014-11-21T21:12:00Z</dcterms:created>
  <dcterms:modified xsi:type="dcterms:W3CDTF">2014-11-21T21:12:00Z</dcterms:modified>
</cp:coreProperties>
</file>