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0AED" w:rsidRDefault="00A60AED" w:rsidP="00A60AED">
      <w:pPr>
        <w:widowControl w:val="0"/>
        <w:jc w:val="center"/>
      </w:pPr>
      <w:bookmarkStart w:id="0" w:name="_GoBack"/>
      <w:bookmarkEnd w:id="0"/>
      <w:r w:rsidRPr="00A60AED">
        <w:rPr>
          <w:b/>
        </w:rPr>
        <w:t>South Carolina General Assembly</w:t>
      </w:r>
    </w:p>
    <w:p w:rsidR="00A60AED" w:rsidRDefault="00A60AED" w:rsidP="00A60AED">
      <w:pPr>
        <w:widowControl w:val="0"/>
        <w:jc w:val="center"/>
      </w:pPr>
      <w:r>
        <w:t>119th Session, 2011-2012</w:t>
      </w:r>
    </w:p>
    <w:p w:rsidR="00A60AED" w:rsidRDefault="00A60AED" w:rsidP="00A60AED">
      <w:pPr>
        <w:widowControl w:val="0"/>
      </w:pPr>
    </w:p>
    <w:p w:rsidR="00A60AED" w:rsidRDefault="00A60AED" w:rsidP="00A60AED">
      <w:pPr>
        <w:widowControl w:val="0"/>
        <w:rPr>
          <w:b/>
        </w:rPr>
      </w:pPr>
      <w:r w:rsidRPr="00A60AED">
        <w:rPr>
          <w:b/>
        </w:rPr>
        <w:t>S.</w:t>
      </w:r>
      <w:r>
        <w:rPr>
          <w:b/>
        </w:rPr>
        <w:t xml:space="preserve"> </w:t>
      </w:r>
      <w:r w:rsidRPr="00A60AED">
        <w:rPr>
          <w:b/>
        </w:rPr>
        <w:t>217</w:t>
      </w:r>
    </w:p>
    <w:p w:rsidR="00A60AED" w:rsidRDefault="00A60AED" w:rsidP="00A60AED">
      <w:pPr>
        <w:widowControl w:val="0"/>
        <w:rPr>
          <w:b/>
        </w:rPr>
      </w:pPr>
    </w:p>
    <w:p w:rsidR="00A60AED" w:rsidRDefault="00A60AED" w:rsidP="00A60AED">
      <w:pPr>
        <w:widowControl w:val="0"/>
      </w:pPr>
      <w:r w:rsidRPr="00A60AED">
        <w:rPr>
          <w:b/>
        </w:rPr>
        <w:t>STATUS INFORMATION</w:t>
      </w:r>
    </w:p>
    <w:p w:rsidR="00A60AED" w:rsidRDefault="00A60AED" w:rsidP="00A60AED">
      <w:pPr>
        <w:widowControl w:val="0"/>
      </w:pPr>
    </w:p>
    <w:p w:rsidR="00A60AED" w:rsidRDefault="00A60AED" w:rsidP="00A60AED">
      <w:pPr>
        <w:widowControl w:val="0"/>
      </w:pPr>
      <w:r>
        <w:t>General Bill</w:t>
      </w:r>
    </w:p>
    <w:p w:rsidR="00A60AED" w:rsidRDefault="00A60AED" w:rsidP="00A60AED">
      <w:pPr>
        <w:widowControl w:val="0"/>
      </w:pPr>
      <w:r>
        <w:t>Sponsors: Senator Jackson</w:t>
      </w:r>
    </w:p>
    <w:p w:rsidR="00A60AED" w:rsidRDefault="00A60AED" w:rsidP="00A60AED">
      <w:pPr>
        <w:widowControl w:val="0"/>
      </w:pPr>
      <w:r>
        <w:t>Document Path: l:\s-res\dj\002scho.kmm.dj.docx</w:t>
      </w:r>
    </w:p>
    <w:p w:rsidR="00A60AED" w:rsidRDefault="00A60AED" w:rsidP="00A60AED">
      <w:pPr>
        <w:widowControl w:val="0"/>
      </w:pPr>
    </w:p>
    <w:p w:rsidR="00CC7F38" w:rsidRDefault="00CC7F38" w:rsidP="00A60AED">
      <w:pPr>
        <w:widowControl w:val="0"/>
      </w:pPr>
      <w:r>
        <w:t>Introduced in the Senate on January 11, 2011</w:t>
      </w:r>
    </w:p>
    <w:p w:rsidR="00CC7F38" w:rsidRPr="00CC7F38" w:rsidRDefault="00CC7F38" w:rsidP="00A60AED">
      <w:pPr>
        <w:widowControl w:val="0"/>
      </w:pPr>
      <w:r>
        <w:t xml:space="preserve">Currently residing in the Senate Committee on </w:t>
      </w:r>
      <w:r w:rsidRPr="00CC7F38">
        <w:rPr>
          <w:b/>
        </w:rPr>
        <w:t>Education</w:t>
      </w:r>
    </w:p>
    <w:p w:rsidR="00CC7F38" w:rsidRDefault="00CC7F38" w:rsidP="00A60AED">
      <w:pPr>
        <w:widowControl w:val="0"/>
      </w:pPr>
    </w:p>
    <w:p w:rsidR="00A60AED" w:rsidRDefault="00A60AED" w:rsidP="00A60AED">
      <w:pPr>
        <w:widowControl w:val="0"/>
      </w:pPr>
      <w:r>
        <w:t xml:space="preserve">Summary: </w:t>
      </w:r>
      <w:r w:rsidR="00C211DB">
        <w:t>Mandatory school attendance</w:t>
      </w:r>
    </w:p>
    <w:p w:rsidR="00A60AED" w:rsidRDefault="00A60AED" w:rsidP="00A60AED">
      <w:pPr>
        <w:widowControl w:val="0"/>
      </w:pPr>
    </w:p>
    <w:p w:rsidR="00A60AED" w:rsidRDefault="00A60AED" w:rsidP="00A60AED">
      <w:pPr>
        <w:widowControl w:val="0"/>
      </w:pPr>
    </w:p>
    <w:p w:rsidR="00A60AED" w:rsidRDefault="00A60AED" w:rsidP="00A60AED">
      <w:pPr>
        <w:widowControl w:val="0"/>
        <w:tabs>
          <w:tab w:val="center" w:pos="590"/>
          <w:tab w:val="center" w:pos="1440"/>
          <w:tab w:val="left" w:pos="1872"/>
          <w:tab w:val="left" w:pos="9187"/>
        </w:tabs>
      </w:pPr>
      <w:r w:rsidRPr="00A60AED">
        <w:rPr>
          <w:b/>
        </w:rPr>
        <w:t>HISTORY OF LEGISLATIVE ACTIONS</w:t>
      </w:r>
    </w:p>
    <w:p w:rsidR="00A60AED" w:rsidRDefault="00A60AED" w:rsidP="00A60AED">
      <w:pPr>
        <w:widowControl w:val="0"/>
        <w:tabs>
          <w:tab w:val="center" w:pos="590"/>
          <w:tab w:val="center" w:pos="1440"/>
          <w:tab w:val="left" w:pos="1872"/>
          <w:tab w:val="left" w:pos="9187"/>
        </w:tabs>
      </w:pPr>
    </w:p>
    <w:p w:rsidR="00A60AED" w:rsidRPr="00A60AED" w:rsidRDefault="00A60AED" w:rsidP="00A60AED">
      <w:pPr>
        <w:widowControl w:val="0"/>
        <w:tabs>
          <w:tab w:val="center" w:pos="590"/>
          <w:tab w:val="center" w:pos="1440"/>
          <w:tab w:val="left" w:pos="1872"/>
          <w:tab w:val="left" w:pos="9187"/>
        </w:tabs>
      </w:pPr>
      <w:r w:rsidRPr="00A60AED">
        <w:rPr>
          <w:u w:val="single"/>
        </w:rPr>
        <w:tab/>
        <w:t>Date</w:t>
      </w:r>
      <w:r w:rsidRPr="00A60AED">
        <w:rPr>
          <w:u w:val="single"/>
        </w:rPr>
        <w:tab/>
        <w:t>Body</w:t>
      </w:r>
      <w:r w:rsidRPr="00A60AED">
        <w:rPr>
          <w:u w:val="single"/>
        </w:rPr>
        <w:tab/>
        <w:t>Action Description with journal page number</w:t>
      </w:r>
      <w:r w:rsidRPr="00A60AED">
        <w:rPr>
          <w:u w:val="single"/>
        </w:rPr>
        <w:tab/>
      </w:r>
    </w:p>
    <w:p w:rsidR="0016301D" w:rsidRDefault="0016301D" w:rsidP="0016301D">
      <w:pPr>
        <w:widowControl w:val="0"/>
        <w:tabs>
          <w:tab w:val="right" w:pos="1008"/>
          <w:tab w:val="left" w:pos="1152"/>
          <w:tab w:val="left" w:pos="1872"/>
          <w:tab w:val="left" w:pos="9187"/>
        </w:tabs>
        <w:ind w:left="2088" w:hanging="2088"/>
      </w:pPr>
      <w:r>
        <w:tab/>
        <w:t>12/8/2010</w:t>
      </w:r>
      <w:r>
        <w:tab/>
        <w:t>Senate</w:t>
      </w:r>
      <w:r>
        <w:tab/>
      </w:r>
      <w:r w:rsidRPr="00C26140">
        <w:t>Prefiled</w:t>
      </w:r>
    </w:p>
    <w:p w:rsidR="0016301D" w:rsidRDefault="0016301D" w:rsidP="0016301D">
      <w:pPr>
        <w:widowControl w:val="0"/>
        <w:tabs>
          <w:tab w:val="right" w:pos="1008"/>
          <w:tab w:val="left" w:pos="1152"/>
          <w:tab w:val="left" w:pos="1872"/>
          <w:tab w:val="left" w:pos="9187"/>
        </w:tabs>
        <w:ind w:left="2088" w:hanging="2088"/>
      </w:pPr>
      <w:r>
        <w:tab/>
        <w:t>12/8/2010</w:t>
      </w:r>
      <w:r>
        <w:tab/>
        <w:t>Senate</w:t>
      </w:r>
      <w:r>
        <w:tab/>
      </w:r>
      <w:r w:rsidRPr="00C26140">
        <w:t xml:space="preserve">Referred to Committee on </w:t>
      </w:r>
      <w:r w:rsidRPr="00C26140">
        <w:rPr>
          <w:b/>
        </w:rPr>
        <w:t>Education</w:t>
      </w:r>
    </w:p>
    <w:p w:rsidR="0016301D" w:rsidRDefault="0016301D" w:rsidP="0016301D">
      <w:pPr>
        <w:widowControl w:val="0"/>
        <w:tabs>
          <w:tab w:val="right" w:pos="1008"/>
          <w:tab w:val="left" w:pos="1152"/>
          <w:tab w:val="left" w:pos="1872"/>
          <w:tab w:val="left" w:pos="9187"/>
        </w:tabs>
        <w:ind w:left="2088" w:hanging="2088"/>
      </w:pPr>
      <w:r>
        <w:tab/>
        <w:t>1/11/2011</w:t>
      </w:r>
      <w:r>
        <w:tab/>
        <w:t>Senate</w:t>
      </w:r>
      <w:r>
        <w:tab/>
      </w:r>
      <w:r w:rsidRPr="00C26140">
        <w:t>Introdu</w:t>
      </w:r>
      <w:r>
        <w:t>ced and read first time (</w:t>
      </w:r>
      <w:hyperlink r:id="rId6" w:history="1">
        <w:r w:rsidRPr="00C26140">
          <w:rPr>
            <w:rStyle w:val="Hyperlink"/>
          </w:rPr>
          <w:t>Senate Journal</w:t>
        </w:r>
        <w:r w:rsidRPr="00C26140">
          <w:rPr>
            <w:rStyle w:val="Hyperlink"/>
          </w:rPr>
          <w:noBreakHyphen/>
          <w:t>page 101</w:t>
        </w:r>
      </w:hyperlink>
      <w:r w:rsidRPr="00C26140">
        <w:t>)</w:t>
      </w:r>
    </w:p>
    <w:p w:rsidR="0016301D" w:rsidRDefault="0016301D" w:rsidP="0016301D">
      <w:pPr>
        <w:widowControl w:val="0"/>
        <w:tabs>
          <w:tab w:val="right" w:pos="1008"/>
          <w:tab w:val="left" w:pos="1152"/>
          <w:tab w:val="left" w:pos="1872"/>
          <w:tab w:val="left" w:pos="9187"/>
        </w:tabs>
        <w:ind w:left="2088" w:hanging="2088"/>
      </w:pPr>
      <w:r>
        <w:tab/>
        <w:t>1/11/2011</w:t>
      </w:r>
      <w:r>
        <w:tab/>
        <w:t>Senate</w:t>
      </w:r>
      <w:r>
        <w:tab/>
      </w:r>
      <w:r w:rsidRPr="00C26140">
        <w:t>Referred to</w:t>
      </w:r>
      <w:r>
        <w:t xml:space="preserve"> Committee on </w:t>
      </w:r>
      <w:r w:rsidRPr="00C26140">
        <w:rPr>
          <w:b/>
        </w:rPr>
        <w:t>Education</w:t>
      </w:r>
      <w:r>
        <w:t xml:space="preserve"> (</w:t>
      </w:r>
      <w:hyperlink r:id="rId7" w:history="1">
        <w:r w:rsidRPr="00C26140">
          <w:rPr>
            <w:rStyle w:val="Hyperlink"/>
          </w:rPr>
          <w:t>Senate Journal</w:t>
        </w:r>
        <w:r w:rsidRPr="00C26140">
          <w:rPr>
            <w:rStyle w:val="Hyperlink"/>
          </w:rPr>
          <w:noBreakHyphen/>
          <w:t>page 101</w:t>
        </w:r>
      </w:hyperlink>
      <w:r w:rsidRPr="00C26140">
        <w:t>)</w:t>
      </w:r>
    </w:p>
    <w:p w:rsidR="0016301D" w:rsidRDefault="0016301D" w:rsidP="0016301D">
      <w:pPr>
        <w:widowControl w:val="0"/>
        <w:tabs>
          <w:tab w:val="right" w:pos="1008"/>
          <w:tab w:val="left" w:pos="1152"/>
          <w:tab w:val="left" w:pos="1872"/>
          <w:tab w:val="left" w:pos="9187"/>
        </w:tabs>
        <w:ind w:left="2088" w:hanging="2088"/>
      </w:pPr>
    </w:p>
    <w:p w:rsidR="00A60AED" w:rsidRPr="00A60AED" w:rsidRDefault="00A60AED" w:rsidP="00A60AED">
      <w:pPr>
        <w:widowControl w:val="0"/>
        <w:tabs>
          <w:tab w:val="right" w:pos="1008"/>
          <w:tab w:val="left" w:pos="1152"/>
          <w:tab w:val="left" w:pos="1872"/>
          <w:tab w:val="left" w:pos="9187"/>
        </w:tabs>
        <w:ind w:left="2088" w:hanging="2088"/>
      </w:pPr>
    </w:p>
    <w:p w:rsidR="00A60AED" w:rsidRDefault="00A60AED" w:rsidP="00A60AED">
      <w:pPr>
        <w:widowControl w:val="0"/>
      </w:pPr>
      <w:r w:rsidRPr="00A60AED">
        <w:rPr>
          <w:b/>
        </w:rPr>
        <w:t>VERSIONS OF THIS BILL</w:t>
      </w:r>
    </w:p>
    <w:p w:rsidR="00A60AED" w:rsidRDefault="00A60AED" w:rsidP="00A60AED">
      <w:pPr>
        <w:widowControl w:val="0"/>
      </w:pPr>
    </w:p>
    <w:p w:rsidR="00A60AED" w:rsidRDefault="00D94662" w:rsidP="00A60AED">
      <w:pPr>
        <w:widowControl w:val="0"/>
      </w:pPr>
      <w:hyperlink r:id="rId8" w:history="1">
        <w:r w:rsidR="00A60AED">
          <w:rPr>
            <w:rStyle w:val="Hyperlink"/>
          </w:rPr>
          <w:t>12/8/2010</w:t>
        </w:r>
      </w:hyperlink>
    </w:p>
    <w:p w:rsidR="00A60AED" w:rsidRDefault="00A60AED" w:rsidP="00A60AED"/>
    <w:p w:rsidR="00A60AED" w:rsidRDefault="00A60AED" w:rsidP="00A60AED">
      <w:pPr>
        <w:sectPr w:rsidR="00A60AED" w:rsidSect="00A60AED">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93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57A1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3" w:name="titletop"/>
      <w:bookmarkEnd w:id="3"/>
      <w:r>
        <w:rPr>
          <w:rFonts w:eastAsia="Times New Roman"/>
          <w:szCs w:val="20"/>
        </w:rPr>
        <w:t>TO AMEND SECTION 59</w:t>
      </w:r>
      <w:r>
        <w:rPr>
          <w:rFonts w:eastAsia="Times New Roman"/>
          <w:szCs w:val="20"/>
        </w:rPr>
        <w:noBreakHyphen/>
        <w:t>65</w:t>
      </w:r>
      <w:r>
        <w:rPr>
          <w:rFonts w:eastAsia="Times New Roman"/>
          <w:szCs w:val="20"/>
        </w:rPr>
        <w:noBreakHyphen/>
        <w:t>10 OF THE 1976 CODE, RELATING TO MANDATORY SCHOOL ATTENDANCE, TO PROVIDE THAT A CHILD MUST ATTEND SCHOOL UNTIL HE ATTAINS THE AGE OF EIGHTEEN, GRADUATES FROM HIGH SCHOOL, OR RECEIVES A HIGH SCHOOL EQUIVALENCY DIPLOMA; TO AMEND SECTION 63</w:t>
      </w:r>
      <w:r>
        <w:rPr>
          <w:rFonts w:eastAsia="Times New Roman"/>
          <w:szCs w:val="20"/>
        </w:rPr>
        <w:noBreakHyphen/>
        <w:t>19</w:t>
      </w:r>
      <w:r>
        <w:rPr>
          <w:rFonts w:eastAsia="Times New Roman"/>
          <w:szCs w:val="20"/>
        </w:rPr>
        <w:noBreakHyphen/>
        <w:t>20, RELATING TO DEFINITIONS, TO DEFINE “CHILD” FOR THE PURPOSES OF TRUANCY; TO AMEND SECTION 63</w:t>
      </w:r>
      <w:r>
        <w:rPr>
          <w:rFonts w:eastAsia="Times New Roman"/>
          <w:szCs w:val="20"/>
        </w:rPr>
        <w:noBreakHyphen/>
        <w:t>19-1030, RELATING TO PREHEARING INQUIRY, TO INCLUDE TITLES FOR TRUANCY PETITIONS; TO AMEND SECTION 63</w:t>
      </w:r>
      <w:r>
        <w:rPr>
          <w:rFonts w:eastAsia="Times New Roman"/>
          <w:szCs w:val="20"/>
        </w:rPr>
        <w:noBreakHyphen/>
        <w:t>19</w:t>
      </w:r>
      <w:r>
        <w:rPr>
          <w:rFonts w:eastAsia="Times New Roman"/>
          <w:szCs w:val="20"/>
        </w:rPr>
        <w:noBreakHyphen/>
        <w:t>1420, RELATING TO DRIVERS LICENSE SUSPENSION AND RESTRICTION, TO PROVIDE FOR THE COURT SUSPENSION OR RESTRICTION OF A CHILD’S DRIVERS LICENSE UPON THE FINDING OF VIOLATION OF COURT TRUANCY ORDER; AND TO AMEND SECTION 63</w:t>
      </w:r>
      <w:r>
        <w:rPr>
          <w:rFonts w:eastAsia="Times New Roman"/>
          <w:szCs w:val="20"/>
        </w:rPr>
        <w:noBreakHyphen/>
        <w:t>19</w:t>
      </w:r>
      <w:r>
        <w:rPr>
          <w:rFonts w:eastAsia="Times New Roman"/>
          <w:szCs w:val="20"/>
        </w:rPr>
        <w:noBreakHyphen/>
        <w:t>1440, RELATING TO COMMITMENT TO THE DEPARTMENT OF JUVENILE JUSTICE, TO PROVIDE FOR THE COMMITMENT OF A CHILD WHO VIOLATES A COURT ORDER TO ATTEND SCHOOL.</w:t>
      </w:r>
    </w:p>
    <w:p w:rsidR="00357A14" w:rsidRDefault="00357A14"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1.</w:t>
      </w:r>
      <w:r>
        <w:rPr>
          <w:rFonts w:eastAsia="Times New Roman"/>
          <w:szCs w:val="20"/>
        </w:rPr>
        <w:tab/>
        <w:t>Section 59</w:t>
      </w:r>
      <w:r>
        <w:rPr>
          <w:rFonts w:eastAsia="Times New Roman"/>
          <w:szCs w:val="20"/>
        </w:rPr>
        <w:noBreakHyphen/>
        <w:t>65</w:t>
      </w:r>
      <w:r>
        <w:rPr>
          <w:rFonts w:eastAsia="Times New Roman"/>
          <w:szCs w:val="20"/>
        </w:rPr>
        <w:noBreakHyphen/>
        <w:t>10(A) of the 1976 Code is amended to read:</w:t>
      </w: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“(A)</w:t>
      </w:r>
      <w:r>
        <w:rPr>
          <w:rFonts w:eastAsia="Times New Roman"/>
          <w:szCs w:val="20"/>
        </w:rPr>
        <w:tab/>
      </w:r>
      <w:r>
        <w:rPr>
          <w:rFonts w:eastAsia="Times New Roman"/>
          <w:strike/>
          <w:szCs w:val="20"/>
        </w:rPr>
        <w:t>All parents</w:t>
      </w:r>
      <w:r>
        <w:rPr>
          <w:rFonts w:eastAsia="Times New Roman"/>
          <w:szCs w:val="20"/>
        </w:rPr>
        <w:t xml:space="preserve"> </w:t>
      </w:r>
      <w:r>
        <w:rPr>
          <w:rFonts w:eastAsia="Times New Roman"/>
          <w:szCs w:val="20"/>
          <w:u w:val="single"/>
        </w:rPr>
        <w:t>A parent</w:t>
      </w:r>
      <w:r>
        <w:rPr>
          <w:rFonts w:eastAsia="Times New Roman"/>
          <w:szCs w:val="20"/>
        </w:rPr>
        <w:t xml:space="preserve"> or </w:t>
      </w:r>
      <w:r>
        <w:rPr>
          <w:rFonts w:eastAsia="Times New Roman"/>
          <w:strike/>
          <w:szCs w:val="20"/>
        </w:rPr>
        <w:t>guardians</w:t>
      </w:r>
      <w:r>
        <w:rPr>
          <w:rFonts w:eastAsia="Times New Roman"/>
          <w:szCs w:val="20"/>
        </w:rPr>
        <w:t xml:space="preserve"> </w:t>
      </w:r>
      <w:r>
        <w:rPr>
          <w:rFonts w:eastAsia="Times New Roman"/>
          <w:szCs w:val="20"/>
          <w:u w:val="single"/>
        </w:rPr>
        <w:t>guardian</w:t>
      </w:r>
      <w:r>
        <w:rPr>
          <w:rFonts w:eastAsia="Times New Roman"/>
          <w:szCs w:val="20"/>
        </w:rPr>
        <w:t xml:space="preserve"> shall cause </w:t>
      </w:r>
      <w:r>
        <w:rPr>
          <w:rFonts w:eastAsia="Times New Roman"/>
          <w:strike/>
          <w:szCs w:val="20"/>
        </w:rPr>
        <w:t>their children</w:t>
      </w:r>
      <w:r>
        <w:rPr>
          <w:rFonts w:eastAsia="Times New Roman"/>
          <w:szCs w:val="20"/>
        </w:rPr>
        <w:t xml:space="preserve"> </w:t>
      </w:r>
      <w:r>
        <w:rPr>
          <w:rFonts w:eastAsia="Times New Roman"/>
          <w:szCs w:val="20"/>
          <w:u w:val="single"/>
        </w:rPr>
        <w:t>his child</w:t>
      </w:r>
      <w:r>
        <w:rPr>
          <w:rFonts w:eastAsia="Times New Roman"/>
          <w:szCs w:val="20"/>
        </w:rPr>
        <w:t xml:space="preserve"> or </w:t>
      </w:r>
      <w:r>
        <w:rPr>
          <w:rFonts w:eastAsia="Times New Roman"/>
          <w:strike/>
          <w:szCs w:val="20"/>
        </w:rPr>
        <w:t>wards</w:t>
      </w:r>
      <w:r>
        <w:rPr>
          <w:rFonts w:eastAsia="Times New Roman"/>
          <w:szCs w:val="20"/>
        </w:rPr>
        <w:t xml:space="preserve"> </w:t>
      </w:r>
      <w:r>
        <w:rPr>
          <w:rFonts w:eastAsia="Times New Roman"/>
          <w:szCs w:val="20"/>
          <w:u w:val="single"/>
        </w:rPr>
        <w:t>ward</w:t>
      </w:r>
      <w:r>
        <w:rPr>
          <w:rFonts w:eastAsia="Times New Roman"/>
          <w:szCs w:val="20"/>
        </w:rPr>
        <w:t xml:space="preserve"> to attend regularly a public or private school or kindergarten of this State which has been approved by the State Board of Education or a member school of the South Carolina Independent Schools’ Association or some similar organization, or a parochial, denominational, or church</w:t>
      </w:r>
      <w:r>
        <w:rPr>
          <w:rFonts w:eastAsia="Times New Roman"/>
          <w:szCs w:val="20"/>
        </w:rPr>
        <w:noBreakHyphen/>
        <w:t xml:space="preserve">related school, or other programs which have been approved by the State Board of Education from the school year in which the child or ward is five years of age before September first until the child or ward attains his </w:t>
      </w:r>
      <w:r>
        <w:rPr>
          <w:rFonts w:eastAsia="Times New Roman"/>
          <w:strike/>
          <w:szCs w:val="20"/>
        </w:rPr>
        <w:t>seventeenth</w:t>
      </w:r>
      <w:r>
        <w:rPr>
          <w:rFonts w:eastAsia="Times New Roman"/>
          <w:szCs w:val="20"/>
        </w:rPr>
        <w:t xml:space="preserve"> </w:t>
      </w:r>
      <w:r>
        <w:rPr>
          <w:rFonts w:eastAsia="Times New Roman"/>
          <w:szCs w:val="20"/>
          <w:u w:val="single"/>
        </w:rPr>
        <w:t>eighteenth</w:t>
      </w:r>
      <w:r>
        <w:rPr>
          <w:rFonts w:eastAsia="Times New Roman"/>
          <w:szCs w:val="20"/>
        </w:rPr>
        <w:t xml:space="preserve"> birthday</w:t>
      </w:r>
      <w:r>
        <w:rPr>
          <w:rFonts w:eastAsia="Times New Roman"/>
          <w:szCs w:val="20"/>
          <w:u w:val="single"/>
        </w:rPr>
        <w:t>,</w:t>
      </w:r>
      <w:r>
        <w:rPr>
          <w:rFonts w:eastAsia="Times New Roman"/>
          <w:szCs w:val="20"/>
        </w:rPr>
        <w:t xml:space="preserve"> </w:t>
      </w:r>
      <w:r>
        <w:rPr>
          <w:rFonts w:eastAsia="Times New Roman"/>
          <w:strike/>
          <w:szCs w:val="20"/>
        </w:rPr>
        <w:t>or</w:t>
      </w:r>
      <w:r>
        <w:rPr>
          <w:rFonts w:eastAsia="Times New Roman"/>
          <w:szCs w:val="20"/>
        </w:rPr>
        <w:t xml:space="preserve"> graduates from high school</w:t>
      </w:r>
      <w:r>
        <w:rPr>
          <w:rFonts w:eastAsia="Times New Roman"/>
          <w:szCs w:val="20"/>
          <w:u w:val="single"/>
        </w:rPr>
        <w:t>, or receives a high school equivalency diploma</w:t>
      </w:r>
      <w:r>
        <w:rPr>
          <w:rFonts w:eastAsia="Times New Roman"/>
          <w:szCs w:val="20"/>
        </w:rPr>
        <w:t>.  A parent or guardian whose child or ward is not six years of age on or before the first day of September of a particular school year may elect for their child or ward not to attend kindergarten.  For this purpose, the parent or guardian shall sign a written document making the election with the governing body of the school district in which the parent or guardian resides.  The form of this written document must be prescribed by regulation of the Department of Education.  Upon the written election being executed, that child or ward may not be required to attend kindergarten.”</w:t>
      </w: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2.</w:t>
      </w:r>
      <w:r>
        <w:rPr>
          <w:rFonts w:eastAsia="Times New Roman"/>
          <w:szCs w:val="20"/>
        </w:rPr>
        <w:tab/>
        <w:t>Section 63</w:t>
      </w:r>
      <w:r>
        <w:rPr>
          <w:rFonts w:eastAsia="Times New Roman"/>
          <w:szCs w:val="20"/>
        </w:rPr>
        <w:noBreakHyphen/>
        <w:t>19</w:t>
      </w:r>
      <w:r>
        <w:rPr>
          <w:rFonts w:eastAsia="Times New Roman"/>
          <w:szCs w:val="20"/>
        </w:rPr>
        <w:noBreakHyphen/>
        <w:t>20(1) of the 1976 Code is amended to read:</w:t>
      </w: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“(1)</w:t>
      </w:r>
      <w:r>
        <w:rPr>
          <w:rFonts w:eastAsia="Times New Roman"/>
          <w:szCs w:val="20"/>
        </w:rPr>
        <w:tab/>
        <w:t>‘Child’ means a person less than seventeen years of age</w:t>
      </w:r>
      <w:r>
        <w:rPr>
          <w:rFonts w:eastAsia="Times New Roman"/>
          <w:szCs w:val="20"/>
          <w:u w:val="single"/>
        </w:rPr>
        <w:t>, except for the purposes of truancy.  For the purposes of truancy, ‘child’ means a person who is less than eighteen years of age</w:t>
      </w:r>
      <w:r>
        <w:rPr>
          <w:rFonts w:eastAsia="Times New Roman"/>
          <w:szCs w:val="20"/>
        </w:rPr>
        <w:t>. ‘Child’ does not mean a person sixteen years of age or older who is charged with a Class A, B, C, or D felony as defined in Section 16</w:t>
      </w:r>
      <w:r>
        <w:rPr>
          <w:rFonts w:eastAsia="Times New Roman"/>
          <w:szCs w:val="20"/>
        </w:rPr>
        <w:noBreakHyphen/>
        <w:t>1</w:t>
      </w:r>
      <w:r>
        <w:rPr>
          <w:rFonts w:eastAsia="Times New Roman"/>
          <w:szCs w:val="20"/>
        </w:rPr>
        <w:noBreakHyphen/>
        <w:t>20 or a felony which provides for a maximum term of imprisonment of fifteen years or more. However, a person sixteen years of age who is charged with a Class A, B, C, or D felony as defined in Section 16</w:t>
      </w:r>
      <w:r>
        <w:rPr>
          <w:rFonts w:eastAsia="Times New Roman"/>
          <w:szCs w:val="20"/>
        </w:rPr>
        <w:noBreakHyphen/>
        <w:t>1</w:t>
      </w:r>
      <w:r>
        <w:rPr>
          <w:rFonts w:eastAsia="Times New Roman"/>
          <w:szCs w:val="20"/>
        </w:rPr>
        <w:noBreakHyphen/>
        <w:t>20 or a felony which provides for a maximum term of imprisonment of fifteen years or more may be remanded to the family court for disposition of the charge at the discretion of the solicitor.  An additional or accompanying charge associated with the charges contained in this item must be heard by the court with jurisdiction over the offenses contained in this item.”</w:t>
      </w: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3.</w:t>
      </w:r>
      <w:r>
        <w:rPr>
          <w:rFonts w:eastAsia="Times New Roman"/>
          <w:szCs w:val="20"/>
        </w:rPr>
        <w:tab/>
        <w:t>Section 63</w:t>
      </w:r>
      <w:r>
        <w:rPr>
          <w:rFonts w:eastAsia="Times New Roman"/>
          <w:szCs w:val="20"/>
        </w:rPr>
        <w:noBreakHyphen/>
        <w:t>19</w:t>
      </w:r>
      <w:r>
        <w:rPr>
          <w:rFonts w:eastAsia="Times New Roman"/>
          <w:szCs w:val="20"/>
        </w:rPr>
        <w:noBreakHyphen/>
        <w:t>1030(B) of the 1976 Code is amended to read:</w:t>
      </w: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“(B)</w:t>
      </w:r>
      <w:r>
        <w:rPr>
          <w:rFonts w:eastAsia="Times New Roman"/>
          <w:szCs w:val="20"/>
        </w:rPr>
        <w:tab/>
        <w:t xml:space="preserve">The petition and all subsequent court documents must be entitled: </w:t>
      </w: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 xml:space="preserve">‘In the Family Court of </w:t>
      </w:r>
      <w:r>
        <w:rPr>
          <w:rFonts w:eastAsia="Times New Roman"/>
          <w:szCs w:val="20"/>
        </w:rPr>
        <w:noBreakHyphen/>
      </w:r>
      <w:r>
        <w:rPr>
          <w:rFonts w:eastAsia="Times New Roman"/>
          <w:szCs w:val="20"/>
        </w:rPr>
        <w:noBreakHyphen/>
      </w:r>
      <w:r>
        <w:rPr>
          <w:rFonts w:eastAsia="Times New Roman"/>
          <w:szCs w:val="20"/>
        </w:rPr>
        <w:noBreakHyphen/>
        <w:t xml:space="preserve"> County. </w:t>
      </w: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u w:val="single"/>
        </w:rPr>
      </w:pPr>
      <w:r>
        <w:rPr>
          <w:rFonts w:eastAsia="Times New Roman"/>
          <w:szCs w:val="20"/>
        </w:rPr>
        <w:t xml:space="preserve">In the Interest of </w:t>
      </w:r>
      <w:r>
        <w:rPr>
          <w:rFonts w:eastAsia="Times New Roman"/>
          <w:szCs w:val="20"/>
        </w:rPr>
        <w:noBreakHyphen/>
      </w:r>
      <w:r>
        <w:rPr>
          <w:rFonts w:eastAsia="Times New Roman"/>
          <w:szCs w:val="20"/>
        </w:rPr>
        <w:noBreakHyphen/>
      </w:r>
      <w:r>
        <w:rPr>
          <w:rFonts w:eastAsia="Times New Roman"/>
          <w:szCs w:val="20"/>
        </w:rPr>
        <w:noBreakHyphen/>
        <w:t>, a child under seventeen years of age.’</w:t>
      </w: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u w:val="single"/>
        </w:rPr>
        <w:t>For truancy petitions:</w:t>
      </w: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u w:val="single"/>
        </w:rPr>
        <w:t xml:space="preserve">‘In the Family Court of </w:t>
      </w:r>
      <w:r>
        <w:rPr>
          <w:rFonts w:eastAsia="Times New Roman"/>
          <w:szCs w:val="20"/>
          <w:u w:val="single"/>
        </w:rPr>
        <w:noBreakHyphen/>
      </w:r>
      <w:r>
        <w:rPr>
          <w:rFonts w:eastAsia="Times New Roman"/>
          <w:szCs w:val="20"/>
          <w:u w:val="single"/>
        </w:rPr>
        <w:noBreakHyphen/>
      </w:r>
      <w:r>
        <w:rPr>
          <w:rFonts w:eastAsia="Times New Roman"/>
          <w:szCs w:val="20"/>
          <w:u w:val="single"/>
        </w:rPr>
        <w:noBreakHyphen/>
        <w:t xml:space="preserve"> County. </w:t>
      </w: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u w:val="single"/>
        </w:rPr>
        <w:t xml:space="preserve">In the Interest of </w:t>
      </w:r>
      <w:r>
        <w:rPr>
          <w:rFonts w:eastAsia="Times New Roman"/>
          <w:szCs w:val="20"/>
          <w:u w:val="single"/>
        </w:rPr>
        <w:noBreakHyphen/>
      </w:r>
      <w:r>
        <w:rPr>
          <w:rFonts w:eastAsia="Times New Roman"/>
          <w:szCs w:val="20"/>
          <w:u w:val="single"/>
        </w:rPr>
        <w:noBreakHyphen/>
      </w:r>
      <w:r>
        <w:rPr>
          <w:rFonts w:eastAsia="Times New Roman"/>
          <w:szCs w:val="20"/>
          <w:u w:val="single"/>
        </w:rPr>
        <w:noBreakHyphen/>
        <w:t>, a child under eighteen years of age.’</w:t>
      </w: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 xml:space="preserve">The petition must be verified and may be upon information and belief.  It shall set forth plainly: </w:t>
      </w: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w:t>
      </w:r>
      <w:r>
        <w:rPr>
          <w:rFonts w:eastAsia="Times New Roman"/>
          <w:szCs w:val="20"/>
        </w:rPr>
        <w:tab/>
        <w:t xml:space="preserve">the facts which bring the child within the purview of this article; </w:t>
      </w: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(2)</w:t>
      </w:r>
      <w:r>
        <w:rPr>
          <w:rFonts w:eastAsia="Times New Roman"/>
          <w:szCs w:val="20"/>
        </w:rPr>
        <w:tab/>
        <w:t xml:space="preserve">the name, age, and residence of the child; </w:t>
      </w: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(3)</w:t>
      </w:r>
      <w:r>
        <w:rPr>
          <w:rFonts w:eastAsia="Times New Roman"/>
          <w:szCs w:val="20"/>
        </w:rPr>
        <w:tab/>
        <w:t xml:space="preserve">the names and residences of the child’s parents; </w:t>
      </w: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(4)</w:t>
      </w:r>
      <w:r>
        <w:rPr>
          <w:rFonts w:eastAsia="Times New Roman"/>
          <w:szCs w:val="20"/>
        </w:rPr>
        <w:tab/>
        <w:t>the name and residence of a legal guardian, if there is one, of the person or persons having custody of or control of the child, or of the nearest known relative if no parent or guardian can be found.  If any of these facts are not known by the petitioner, the petition shall state that.”</w:t>
      </w: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4.</w:t>
      </w:r>
      <w:r>
        <w:rPr>
          <w:rFonts w:eastAsia="Times New Roman"/>
          <w:szCs w:val="20"/>
        </w:rPr>
        <w:tab/>
        <w:t>Section 63</w:t>
      </w:r>
      <w:r>
        <w:rPr>
          <w:rFonts w:eastAsia="Times New Roman"/>
          <w:szCs w:val="20"/>
        </w:rPr>
        <w:noBreakHyphen/>
        <w:t>19</w:t>
      </w:r>
      <w:r>
        <w:rPr>
          <w:rFonts w:eastAsia="Times New Roman"/>
          <w:szCs w:val="20"/>
        </w:rPr>
        <w:noBreakHyphen/>
        <w:t>1420(A) of the 1976 Code is amended to read:</w:t>
      </w: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“(A)</w:t>
      </w:r>
      <w:r>
        <w:rPr>
          <w:rFonts w:eastAsia="Times New Roman"/>
          <w:szCs w:val="20"/>
        </w:rPr>
        <w:tab/>
        <w:t xml:space="preserve">If a child is adjudicated delinquent for a status offense or is found in violation of a court order relating to a status offense, the court may suspend or restrict the child’s driver’s license until the child’s seventeenth birthday.  </w:t>
      </w:r>
      <w:r>
        <w:rPr>
          <w:rFonts w:eastAsia="Times New Roman"/>
          <w:szCs w:val="20"/>
          <w:u w:val="single"/>
        </w:rPr>
        <w:t>However, if a child is adjudicated delinquent for truancy or is found in violation of a court order relating to a truancy offense, the court may suspend or restrict the child’s driver’s license until the child’s eighteenth birthday.</w:t>
      </w:r>
      <w:r>
        <w:rPr>
          <w:rFonts w:eastAsia="Times New Roman"/>
          <w:szCs w:val="20"/>
        </w:rPr>
        <w:t>”</w:t>
      </w: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5.</w:t>
      </w:r>
      <w:r>
        <w:rPr>
          <w:rFonts w:eastAsia="Times New Roman"/>
          <w:szCs w:val="20"/>
        </w:rPr>
        <w:tab/>
        <w:t>Section 63</w:t>
      </w:r>
      <w:r>
        <w:rPr>
          <w:rFonts w:eastAsia="Times New Roman"/>
          <w:szCs w:val="20"/>
        </w:rPr>
        <w:noBreakHyphen/>
        <w:t>19</w:t>
      </w:r>
      <w:r>
        <w:rPr>
          <w:rFonts w:eastAsia="Times New Roman"/>
          <w:szCs w:val="20"/>
        </w:rPr>
        <w:noBreakHyphen/>
        <w:t>1440(A) of the 1976 Code is amended to read:</w:t>
      </w: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“(A)</w:t>
      </w:r>
      <w:r>
        <w:rPr>
          <w:rFonts w:eastAsia="Times New Roman"/>
          <w:szCs w:val="20"/>
        </w:rPr>
        <w:tab/>
        <w:t xml:space="preserve">A child, after the child’s twelfth birthday and before the seventeenth birthday or while under the jurisdiction of the family court for disposition of an offense that occurred prior to the child’s seventeenth birthday </w:t>
      </w:r>
      <w:r>
        <w:rPr>
          <w:rFonts w:eastAsia="Times New Roman"/>
          <w:szCs w:val="20"/>
          <w:u w:val="single"/>
        </w:rPr>
        <w:t>or for a violation of a court order to attend school that occurred prior to the child’s eighteenth birthday</w:t>
      </w:r>
      <w:r>
        <w:rPr>
          <w:rFonts w:eastAsia="Times New Roman"/>
          <w:szCs w:val="20"/>
        </w:rPr>
        <w:t>, may be committed to the custody of the Department of Juvenile Justice which shall arrange for placement in a suitable corrective environment.  Children under the age of twelve years may be committed only to the custody of the department which shall arrange for placement in a suitable corrective environment other than institutional confinement.  No child under the age of seventeen years may be committed or sentenced to any other penal or correctional institution of this State.”</w:t>
      </w: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6.</w:t>
      </w:r>
      <w:r>
        <w:rPr>
          <w:rFonts w:eastAsia="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7.</w:t>
      </w:r>
      <w:r>
        <w:rPr>
          <w:rFonts w:eastAsia="Times New Roman"/>
          <w:szCs w:val="20"/>
        </w:rPr>
        <w:tab/>
        <w:t>This act takes effect upon approval by the Governor.</w:t>
      </w:r>
    </w:p>
    <w:p w:rsidR="0059391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93916" w:rsidRDefault="00593916" w:rsidP="00A60AED">
      <w:pPr>
        <w:suppressAutoHyphens/>
        <w:jc w:val="both"/>
        <w:rPr>
          <w:rFonts w:eastAsia="Times New Roman"/>
        </w:rPr>
      </w:pPr>
    </w:p>
    <w:sectPr w:rsidR="00593916" w:rsidSect="00A60AE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7A14" w:rsidRDefault="00357A14" w:rsidP="00522CE0">
      <w:r>
        <w:separator/>
      </w:r>
    </w:p>
  </w:endnote>
  <w:endnote w:type="continuationSeparator" w:id="0">
    <w:p w:rsidR="00357A14" w:rsidRDefault="00357A1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1F4990-9809-4275-9F81-6AA1634173E4}"/>
    <w:embedBold r:id="rId2" w:fontKey="{9A35CD07-BA8D-47E6-B869-3F6255163E7E}"/>
  </w:font>
  <w:font w:name="Calibri">
    <w:panose1 w:val="020F0502020204030204"/>
    <w:charset w:val="00"/>
    <w:family w:val="swiss"/>
    <w:pitch w:val="variable"/>
    <w:sig w:usb0="E10002FF" w:usb1="4000ACFF" w:usb2="00000009" w:usb3="00000000" w:csb0="0000019F" w:csb1="00000000"/>
    <w:embedRegular r:id="rId3" w:fontKey="{8D94BC9C-8DBE-4AF5-80C4-AC07A20C03EA}"/>
    <w:embedBold r:id="rId4" w:fontKey="{5928A580-10B0-44C5-967C-1CA256FC4E5B}"/>
  </w:font>
  <w:font w:name="Cambria">
    <w:panose1 w:val="02040503050406030204"/>
    <w:charset w:val="00"/>
    <w:family w:val="roman"/>
    <w:pitch w:val="variable"/>
    <w:sig w:usb0="E00002FF" w:usb1="400004FF" w:usb2="00000000" w:usb3="00000000" w:csb0="0000019F" w:csb1="00000000"/>
    <w:embedRegular r:id="rId5" w:fontKey="{1DDDB104-3396-4A77-8ECC-184311DBB9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AED" w:rsidRPr="00593916" w:rsidRDefault="00A60AED" w:rsidP="00593916">
    <w:pPr>
      <w:pStyle w:val="Footer"/>
      <w:tabs>
        <w:tab w:val="clear" w:pos="4680"/>
        <w:tab w:val="clear" w:pos="9360"/>
        <w:tab w:val="center" w:pos="2995"/>
      </w:tabs>
      <w:spacing w:before="120"/>
    </w:pPr>
    <w:r>
      <w:t>[217]</w:t>
    </w:r>
    <w:r>
      <w:tab/>
    </w:r>
    <w:r w:rsidR="00D94662">
      <w:fldChar w:fldCharType="begin"/>
    </w:r>
    <w:r w:rsidR="00D94662">
      <w:instrText xml:space="preserve"> PAGE  \* MERGEFORMAT </w:instrText>
    </w:r>
    <w:r w:rsidR="00D94662">
      <w:fldChar w:fldCharType="separate"/>
    </w:r>
    <w:r w:rsidR="00D94662">
      <w:rPr>
        <w:noProof/>
      </w:rPr>
      <w:t>1</w:t>
    </w:r>
    <w:r w:rsidR="00D9466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7A14" w:rsidRDefault="00357A14" w:rsidP="00522CE0">
      <w:r>
        <w:separator/>
      </w:r>
    </w:p>
  </w:footnote>
  <w:footnote w:type="continuationSeparator" w:id="0">
    <w:p w:rsidR="00357A14" w:rsidRDefault="00357A1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2SCHO.KMM.DJ"/>
    <w:docVar w:name="CoverAttorneyInitials" w:val="KMM"/>
    <w:docVar w:name="CoverAttorneyLastName" w:val="Moffitt"/>
    <w:docVar w:name="CoverBillType" w:val="b"/>
    <w:docVar w:name="CoverSenator" w:val="DJ"/>
    <w:docVar w:name="dvBillNumber" w:val="217"/>
    <w:docVar w:name="dvBillNumberPrefix" w:val="S. "/>
    <w:docVar w:name="dvOriginalBody" w:val="Senate"/>
    <w:docVar w:name="fulldraftpath" w:val="L:\S-RES\DJ\002SCHO.KMM.DJ.DOCX"/>
    <w:docVar w:name="NameofBody" w:val="S"/>
    <w:docVar w:name="vgroup2" w:val="S-RES"/>
  </w:docVars>
  <w:rsids>
    <w:rsidRoot w:val="006308BE"/>
    <w:rsid w:val="00031FDE"/>
    <w:rsid w:val="00042AC1"/>
    <w:rsid w:val="00046516"/>
    <w:rsid w:val="0007601D"/>
    <w:rsid w:val="00086389"/>
    <w:rsid w:val="000B0720"/>
    <w:rsid w:val="000B5EAF"/>
    <w:rsid w:val="00146A67"/>
    <w:rsid w:val="0016301D"/>
    <w:rsid w:val="00170561"/>
    <w:rsid w:val="00186AC9"/>
    <w:rsid w:val="00197DF1"/>
    <w:rsid w:val="001B3DD9"/>
    <w:rsid w:val="001B7E5D"/>
    <w:rsid w:val="001D3BAC"/>
    <w:rsid w:val="00245C4E"/>
    <w:rsid w:val="0025709D"/>
    <w:rsid w:val="002C1321"/>
    <w:rsid w:val="002C5896"/>
    <w:rsid w:val="002D3BED"/>
    <w:rsid w:val="00307C2B"/>
    <w:rsid w:val="00357A14"/>
    <w:rsid w:val="00383247"/>
    <w:rsid w:val="003D6E2B"/>
    <w:rsid w:val="003E584B"/>
    <w:rsid w:val="003E7597"/>
    <w:rsid w:val="00450668"/>
    <w:rsid w:val="00477E67"/>
    <w:rsid w:val="004952FA"/>
    <w:rsid w:val="004B6A22"/>
    <w:rsid w:val="004D7F37"/>
    <w:rsid w:val="004F68A0"/>
    <w:rsid w:val="00522CE0"/>
    <w:rsid w:val="00565148"/>
    <w:rsid w:val="00593361"/>
    <w:rsid w:val="00593916"/>
    <w:rsid w:val="005A5017"/>
    <w:rsid w:val="005A648C"/>
    <w:rsid w:val="005F1745"/>
    <w:rsid w:val="0060649B"/>
    <w:rsid w:val="006308BE"/>
    <w:rsid w:val="006C74EA"/>
    <w:rsid w:val="006F648D"/>
    <w:rsid w:val="00720D40"/>
    <w:rsid w:val="0073141C"/>
    <w:rsid w:val="007318D4"/>
    <w:rsid w:val="00765784"/>
    <w:rsid w:val="007A4390"/>
    <w:rsid w:val="007B7510"/>
    <w:rsid w:val="007E5CB7"/>
    <w:rsid w:val="008314D2"/>
    <w:rsid w:val="0085256D"/>
    <w:rsid w:val="008B2F42"/>
    <w:rsid w:val="008E185F"/>
    <w:rsid w:val="008F023B"/>
    <w:rsid w:val="00904E16"/>
    <w:rsid w:val="009162B3"/>
    <w:rsid w:val="00921E44"/>
    <w:rsid w:val="00927C62"/>
    <w:rsid w:val="00983951"/>
    <w:rsid w:val="00984124"/>
    <w:rsid w:val="00984640"/>
    <w:rsid w:val="00995C37"/>
    <w:rsid w:val="009C118A"/>
    <w:rsid w:val="009F7E0B"/>
    <w:rsid w:val="00A02011"/>
    <w:rsid w:val="00A136F1"/>
    <w:rsid w:val="00A4011E"/>
    <w:rsid w:val="00A60AED"/>
    <w:rsid w:val="00A86015"/>
    <w:rsid w:val="00A9298A"/>
    <w:rsid w:val="00A9594E"/>
    <w:rsid w:val="00AC38BB"/>
    <w:rsid w:val="00AE59C8"/>
    <w:rsid w:val="00B10098"/>
    <w:rsid w:val="00B2704C"/>
    <w:rsid w:val="00B5790D"/>
    <w:rsid w:val="00B945C5"/>
    <w:rsid w:val="00BA20EA"/>
    <w:rsid w:val="00BB5AFC"/>
    <w:rsid w:val="00BC0A56"/>
    <w:rsid w:val="00BF008F"/>
    <w:rsid w:val="00C211DB"/>
    <w:rsid w:val="00C45366"/>
    <w:rsid w:val="00C57023"/>
    <w:rsid w:val="00C74052"/>
    <w:rsid w:val="00CB187A"/>
    <w:rsid w:val="00CC0EC7"/>
    <w:rsid w:val="00CC7F38"/>
    <w:rsid w:val="00D1088B"/>
    <w:rsid w:val="00D156D2"/>
    <w:rsid w:val="00D86943"/>
    <w:rsid w:val="00D94662"/>
    <w:rsid w:val="00DA47B9"/>
    <w:rsid w:val="00DD6E32"/>
    <w:rsid w:val="00E058D3"/>
    <w:rsid w:val="00E53E88"/>
    <w:rsid w:val="00E76AD9"/>
    <w:rsid w:val="00E91E2F"/>
    <w:rsid w:val="00EA3546"/>
    <w:rsid w:val="00EB47AE"/>
    <w:rsid w:val="00EC34E1"/>
    <w:rsid w:val="00F0234A"/>
    <w:rsid w:val="00F34EFC"/>
    <w:rsid w:val="00F46561"/>
    <w:rsid w:val="00F52959"/>
    <w:rsid w:val="00F55884"/>
    <w:rsid w:val="00F6328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7CED4F1B-BA6F-4304-81FD-DD09F43BE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60A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17_20101208.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1185</Words>
  <Characters>5972</Characters>
  <Application>Microsoft Office Word</Application>
  <DocSecurity>4</DocSecurity>
  <Lines>174</Lines>
  <Paragraphs>44</Paragraphs>
  <ScaleCrop>false</ScaleCrop>
  <Company> </Company>
  <LinksUpToDate>false</LinksUpToDate>
  <CharactersWithSpaces>7147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217: Mandatory school attendance - South Carolina Legislature Online</dc:title>
  <dc:subject/>
  <dc:creator>BonnieHuth</dc:creator>
  <cp:keywords/>
  <dc:description/>
  <cp:lastModifiedBy>N Cumfer</cp:lastModifiedBy>
  <cp:revision>2</cp:revision>
  <dcterms:created xsi:type="dcterms:W3CDTF">2014-11-21T20:31:00Z</dcterms:created>
  <dcterms:modified xsi:type="dcterms:W3CDTF">2014-11-21T20:31:00Z</dcterms:modified>
</cp:coreProperties>
</file>