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793F" w:rsidRDefault="0068793F" w:rsidP="0068793F">
      <w:pPr>
        <w:widowControl w:val="0"/>
        <w:jc w:val="center"/>
      </w:pPr>
      <w:bookmarkStart w:id="0" w:name="_GoBack"/>
      <w:bookmarkEnd w:id="0"/>
      <w:r w:rsidRPr="0068793F">
        <w:rPr>
          <w:b/>
        </w:rPr>
        <w:t>South Carolina General Assembly</w:t>
      </w:r>
    </w:p>
    <w:p w:rsidR="0068793F" w:rsidRDefault="0068793F" w:rsidP="0068793F">
      <w:pPr>
        <w:widowControl w:val="0"/>
        <w:jc w:val="center"/>
      </w:pPr>
      <w:r>
        <w:t>119th Session, 2011-2012</w:t>
      </w:r>
    </w:p>
    <w:p w:rsidR="0068793F" w:rsidRDefault="0068793F" w:rsidP="0068793F">
      <w:pPr>
        <w:widowControl w:val="0"/>
      </w:pPr>
    </w:p>
    <w:p w:rsidR="0068793F" w:rsidRDefault="0068793F" w:rsidP="0068793F">
      <w:pPr>
        <w:widowControl w:val="0"/>
        <w:rPr>
          <w:b/>
        </w:rPr>
      </w:pPr>
      <w:r w:rsidRPr="0068793F">
        <w:rPr>
          <w:b/>
        </w:rPr>
        <w:t>S.</w:t>
      </w:r>
      <w:r>
        <w:rPr>
          <w:b/>
        </w:rPr>
        <w:t xml:space="preserve"> </w:t>
      </w:r>
      <w:r w:rsidRPr="0068793F">
        <w:rPr>
          <w:b/>
        </w:rPr>
        <w:t>352</w:t>
      </w:r>
    </w:p>
    <w:p w:rsidR="0068793F" w:rsidRDefault="0068793F" w:rsidP="0068793F">
      <w:pPr>
        <w:widowControl w:val="0"/>
        <w:rPr>
          <w:b/>
        </w:rPr>
      </w:pPr>
    </w:p>
    <w:p w:rsidR="0068793F" w:rsidRDefault="0068793F" w:rsidP="0068793F">
      <w:pPr>
        <w:widowControl w:val="0"/>
      </w:pPr>
      <w:r w:rsidRPr="0068793F">
        <w:rPr>
          <w:b/>
        </w:rPr>
        <w:t>STATUS INFORMATION</w:t>
      </w:r>
    </w:p>
    <w:p w:rsidR="0068793F" w:rsidRDefault="0068793F" w:rsidP="0068793F">
      <w:pPr>
        <w:widowControl w:val="0"/>
      </w:pPr>
    </w:p>
    <w:p w:rsidR="0068793F" w:rsidRDefault="0068793F" w:rsidP="0068793F">
      <w:pPr>
        <w:widowControl w:val="0"/>
      </w:pPr>
      <w:r>
        <w:t>General Bill</w:t>
      </w:r>
    </w:p>
    <w:p w:rsidR="0068793F" w:rsidRDefault="0068793F" w:rsidP="0068793F">
      <w:pPr>
        <w:widowControl w:val="0"/>
      </w:pPr>
      <w:r>
        <w:t>Sponsors: Senator Rose</w:t>
      </w:r>
    </w:p>
    <w:p w:rsidR="0068793F" w:rsidRDefault="0068793F" w:rsidP="0068793F">
      <w:pPr>
        <w:widowControl w:val="0"/>
      </w:pPr>
      <w:r>
        <w:t>Document Path: l:\s-jud\bills\rose\jud0064.js.docx</w:t>
      </w:r>
    </w:p>
    <w:p w:rsidR="0068793F" w:rsidRDefault="0068793F" w:rsidP="0068793F">
      <w:pPr>
        <w:widowControl w:val="0"/>
      </w:pPr>
    </w:p>
    <w:p w:rsidR="0068793F" w:rsidRDefault="0068793F" w:rsidP="0068793F">
      <w:pPr>
        <w:widowControl w:val="0"/>
      </w:pPr>
      <w:r>
        <w:t>Introduced in the Senate on January 13, 2011</w:t>
      </w:r>
    </w:p>
    <w:p w:rsidR="0068793F" w:rsidRDefault="0068793F" w:rsidP="0068793F">
      <w:pPr>
        <w:widowControl w:val="0"/>
      </w:pPr>
      <w:r>
        <w:t xml:space="preserve">Currently residing in the Senate Committee on </w:t>
      </w:r>
      <w:r w:rsidRPr="0068793F">
        <w:rPr>
          <w:b/>
        </w:rPr>
        <w:t>Judiciary</w:t>
      </w:r>
    </w:p>
    <w:p w:rsidR="0068793F" w:rsidRDefault="0068793F" w:rsidP="0068793F">
      <w:pPr>
        <w:widowControl w:val="0"/>
      </w:pPr>
    </w:p>
    <w:p w:rsidR="0068793F" w:rsidRDefault="0068793F" w:rsidP="0068793F">
      <w:pPr>
        <w:widowControl w:val="0"/>
      </w:pPr>
      <w:r>
        <w:t xml:space="preserve">Summary: </w:t>
      </w:r>
      <w:r w:rsidR="009716E9">
        <w:t>Judicial candidates</w:t>
      </w:r>
    </w:p>
    <w:p w:rsidR="0068793F" w:rsidRDefault="0068793F" w:rsidP="0068793F">
      <w:pPr>
        <w:widowControl w:val="0"/>
      </w:pPr>
    </w:p>
    <w:p w:rsidR="0068793F" w:rsidRDefault="0068793F" w:rsidP="0068793F">
      <w:pPr>
        <w:widowControl w:val="0"/>
      </w:pPr>
    </w:p>
    <w:p w:rsidR="0068793F" w:rsidRDefault="0068793F" w:rsidP="0068793F">
      <w:pPr>
        <w:widowControl w:val="0"/>
        <w:tabs>
          <w:tab w:val="center" w:pos="590"/>
          <w:tab w:val="center" w:pos="1440"/>
          <w:tab w:val="left" w:pos="1872"/>
          <w:tab w:val="left" w:pos="9187"/>
        </w:tabs>
      </w:pPr>
      <w:r w:rsidRPr="0068793F">
        <w:rPr>
          <w:b/>
        </w:rPr>
        <w:t>HISTORY OF LEGISLATIVE ACTIONS</w:t>
      </w:r>
    </w:p>
    <w:p w:rsidR="0068793F" w:rsidRDefault="0068793F" w:rsidP="0068793F">
      <w:pPr>
        <w:widowControl w:val="0"/>
        <w:tabs>
          <w:tab w:val="center" w:pos="590"/>
          <w:tab w:val="center" w:pos="1440"/>
          <w:tab w:val="left" w:pos="1872"/>
          <w:tab w:val="left" w:pos="9187"/>
        </w:tabs>
      </w:pPr>
    </w:p>
    <w:p w:rsidR="0068793F" w:rsidRPr="0068793F" w:rsidRDefault="0068793F" w:rsidP="0068793F">
      <w:pPr>
        <w:widowControl w:val="0"/>
        <w:tabs>
          <w:tab w:val="center" w:pos="590"/>
          <w:tab w:val="center" w:pos="1440"/>
          <w:tab w:val="left" w:pos="1872"/>
          <w:tab w:val="left" w:pos="9187"/>
        </w:tabs>
      </w:pPr>
      <w:r w:rsidRPr="0068793F">
        <w:rPr>
          <w:u w:val="single"/>
        </w:rPr>
        <w:tab/>
        <w:t>Date</w:t>
      </w:r>
      <w:r w:rsidRPr="0068793F">
        <w:rPr>
          <w:u w:val="single"/>
        </w:rPr>
        <w:tab/>
        <w:t>Body</w:t>
      </w:r>
      <w:r w:rsidRPr="0068793F">
        <w:rPr>
          <w:u w:val="single"/>
        </w:rPr>
        <w:tab/>
        <w:t>Action Description with journal page number</w:t>
      </w:r>
      <w:r w:rsidRPr="0068793F">
        <w:rPr>
          <w:u w:val="single"/>
        </w:rPr>
        <w:tab/>
      </w:r>
    </w:p>
    <w:p w:rsidR="006E2B7E" w:rsidRDefault="006E2B7E" w:rsidP="006E2B7E">
      <w:pPr>
        <w:widowControl w:val="0"/>
        <w:tabs>
          <w:tab w:val="right" w:pos="1008"/>
          <w:tab w:val="left" w:pos="1152"/>
          <w:tab w:val="left" w:pos="1872"/>
          <w:tab w:val="left" w:pos="9187"/>
        </w:tabs>
        <w:ind w:left="2088" w:hanging="2088"/>
      </w:pPr>
      <w:r>
        <w:tab/>
        <w:t>1/13/2011</w:t>
      </w:r>
      <w:r>
        <w:tab/>
        <w:t>Senate</w:t>
      </w:r>
      <w:r>
        <w:tab/>
      </w:r>
      <w:r w:rsidRPr="00554A67">
        <w:t>Introduced and read first time (</w:t>
      </w:r>
      <w:hyperlink r:id="rId6" w:history="1">
        <w:r w:rsidRPr="00554A67">
          <w:rPr>
            <w:rStyle w:val="Hyperlink"/>
          </w:rPr>
          <w:t>Senate Journal</w:t>
        </w:r>
        <w:r w:rsidRPr="00554A67">
          <w:rPr>
            <w:rStyle w:val="Hyperlink"/>
          </w:rPr>
          <w:noBreakHyphen/>
          <w:t>page 10</w:t>
        </w:r>
      </w:hyperlink>
      <w:r w:rsidRPr="00554A67">
        <w:t>)</w:t>
      </w:r>
    </w:p>
    <w:p w:rsidR="006E2B7E" w:rsidRDefault="006E2B7E" w:rsidP="006E2B7E">
      <w:pPr>
        <w:widowControl w:val="0"/>
        <w:tabs>
          <w:tab w:val="right" w:pos="1008"/>
          <w:tab w:val="left" w:pos="1152"/>
          <w:tab w:val="left" w:pos="1872"/>
          <w:tab w:val="left" w:pos="9187"/>
        </w:tabs>
        <w:ind w:left="2088" w:hanging="2088"/>
      </w:pPr>
      <w:r>
        <w:tab/>
        <w:t>1/13/2011</w:t>
      </w:r>
      <w:r>
        <w:tab/>
        <w:t>Senate</w:t>
      </w:r>
      <w:r>
        <w:tab/>
      </w:r>
      <w:r w:rsidRPr="00554A67">
        <w:t>Refer</w:t>
      </w:r>
      <w:r>
        <w:t xml:space="preserve">red to Committee on </w:t>
      </w:r>
      <w:r w:rsidRPr="00554A67">
        <w:rPr>
          <w:b/>
        </w:rPr>
        <w:t>Judiciary</w:t>
      </w:r>
      <w:r>
        <w:t xml:space="preserve"> </w:t>
      </w:r>
      <w:r w:rsidRPr="00554A67">
        <w:t>(</w:t>
      </w:r>
      <w:hyperlink r:id="rId7" w:history="1">
        <w:r w:rsidRPr="00554A67">
          <w:rPr>
            <w:rStyle w:val="Hyperlink"/>
          </w:rPr>
          <w:t>Senate Journal</w:t>
        </w:r>
        <w:r w:rsidRPr="00554A67">
          <w:rPr>
            <w:rStyle w:val="Hyperlink"/>
          </w:rPr>
          <w:noBreakHyphen/>
          <w:t>page 10</w:t>
        </w:r>
      </w:hyperlink>
      <w:r w:rsidRPr="00554A67">
        <w:t>)</w:t>
      </w:r>
    </w:p>
    <w:p w:rsidR="006E2B7E" w:rsidRDefault="006E2B7E" w:rsidP="006E2B7E">
      <w:pPr>
        <w:widowControl w:val="0"/>
        <w:tabs>
          <w:tab w:val="right" w:pos="1008"/>
          <w:tab w:val="left" w:pos="1152"/>
          <w:tab w:val="left" w:pos="1872"/>
          <w:tab w:val="left" w:pos="9187"/>
        </w:tabs>
        <w:ind w:left="2088" w:hanging="2088"/>
      </w:pPr>
      <w:r>
        <w:tab/>
        <w:t>1/9/2012</w:t>
      </w:r>
      <w:r>
        <w:tab/>
        <w:t>Senate</w:t>
      </w:r>
      <w:r>
        <w:tab/>
      </w:r>
      <w:r w:rsidRPr="00554A67">
        <w:t>Referred to Subco</w:t>
      </w:r>
      <w:r>
        <w:t xml:space="preserve">mmittee: L.Martin (ch), Knotts, </w:t>
      </w:r>
      <w:r w:rsidRPr="00554A67">
        <w:t>Coleman, Nicholson, Rose</w:t>
      </w:r>
    </w:p>
    <w:p w:rsidR="006E2B7E" w:rsidRDefault="006E2B7E" w:rsidP="006E2B7E">
      <w:pPr>
        <w:widowControl w:val="0"/>
        <w:tabs>
          <w:tab w:val="right" w:pos="1008"/>
          <w:tab w:val="left" w:pos="1152"/>
          <w:tab w:val="left" w:pos="1872"/>
          <w:tab w:val="left" w:pos="9187"/>
        </w:tabs>
        <w:ind w:left="2088" w:hanging="2088"/>
      </w:pPr>
    </w:p>
    <w:p w:rsidR="0068793F" w:rsidRPr="0068793F" w:rsidRDefault="0068793F" w:rsidP="0068793F">
      <w:pPr>
        <w:widowControl w:val="0"/>
        <w:tabs>
          <w:tab w:val="right" w:pos="1008"/>
          <w:tab w:val="left" w:pos="1152"/>
          <w:tab w:val="left" w:pos="1872"/>
          <w:tab w:val="left" w:pos="9187"/>
        </w:tabs>
        <w:ind w:left="2088" w:hanging="2088"/>
      </w:pPr>
    </w:p>
    <w:p w:rsidR="0068793F" w:rsidRDefault="0068793F" w:rsidP="0068793F">
      <w:pPr>
        <w:widowControl w:val="0"/>
      </w:pPr>
      <w:r w:rsidRPr="0068793F">
        <w:rPr>
          <w:b/>
        </w:rPr>
        <w:t>VERSIONS OF THIS BILL</w:t>
      </w:r>
    </w:p>
    <w:p w:rsidR="0068793F" w:rsidRDefault="0068793F" w:rsidP="0068793F">
      <w:pPr>
        <w:widowControl w:val="0"/>
      </w:pPr>
    </w:p>
    <w:p w:rsidR="0068793F" w:rsidRDefault="00480CAD" w:rsidP="0068793F">
      <w:pPr>
        <w:widowControl w:val="0"/>
      </w:pPr>
      <w:hyperlink r:id="rId8" w:history="1">
        <w:r w:rsidR="0068793F">
          <w:rPr>
            <w:rStyle w:val="Hyperlink"/>
          </w:rPr>
          <w:t>1/13/2011</w:t>
        </w:r>
      </w:hyperlink>
    </w:p>
    <w:p w:rsidR="0068793F" w:rsidRDefault="0068793F" w:rsidP="0068793F"/>
    <w:p w:rsidR="0068793F" w:rsidRDefault="0068793F" w:rsidP="0068793F">
      <w:pPr>
        <w:sectPr w:rsidR="0068793F" w:rsidSect="0068793F">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A7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611CC">
        <w:rPr>
          <w:rFonts w:eastAsia="Times New Roman"/>
          <w:b/>
          <w:sz w:val="30"/>
          <w:szCs w:val="30"/>
        </w:rPr>
        <w:t>BILL</w:t>
      </w:r>
    </w:p>
    <w:p w:rsidR="009611CC" w:rsidRDefault="009611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Start w:id="4" w:name="titleend"/>
      <w:bookmarkEnd w:id="3"/>
      <w:bookmarkEnd w:id="4"/>
    </w:p>
    <w:p w:rsidR="00D1570E" w:rsidRPr="00522CE0" w:rsidRDefault="00D1570E" w:rsidP="00D15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TO AMEND SECTION 2-19-30, SOUTH CAROLINA CODE OF LAWS, 1976, RELATING TO THE HEARINGS OF JUDICIAL CANDIDATES, SO AS TO PROVIDE FOR THE REOPENING OF THE PUBLIC HEARING WHEN </w:t>
      </w:r>
      <w:r w:rsidR="0023270B">
        <w:rPr>
          <w:rFonts w:eastAsia="Times New Roman"/>
        </w:rPr>
        <w:t>SUFFIC</w:t>
      </w:r>
      <w:r w:rsidR="007744FB">
        <w:rPr>
          <w:rFonts w:eastAsia="Times New Roman"/>
        </w:rPr>
        <w:t>I</w:t>
      </w:r>
      <w:r w:rsidR="0023270B">
        <w:rPr>
          <w:rFonts w:eastAsia="Times New Roman"/>
        </w:rPr>
        <w:t>ENT CAUSE</w:t>
      </w:r>
      <w:r>
        <w:rPr>
          <w:rFonts w:eastAsia="Times New Roman"/>
        </w:rPr>
        <w:t xml:space="preserve"> </w:t>
      </w:r>
      <w:r w:rsidR="0023270B">
        <w:rPr>
          <w:rFonts w:eastAsia="Times New Roman"/>
        </w:rPr>
        <w:t>IS DETERMINE</w:t>
      </w:r>
      <w:r w:rsidR="006D4FFE">
        <w:rPr>
          <w:rFonts w:eastAsia="Times New Roman"/>
        </w:rPr>
        <w:t>D BY THE JUDICIAL MERIT SELECTION COMMISSION</w:t>
      </w:r>
      <w:r w:rsidR="0023270B">
        <w:rPr>
          <w:rFonts w:eastAsia="Times New Roman"/>
        </w:rPr>
        <w:t xml:space="preserve"> </w:t>
      </w:r>
      <w:r>
        <w:rPr>
          <w:rFonts w:eastAsia="Times New Roman"/>
        </w:rPr>
        <w:t xml:space="preserve">AFTER THE CANDIDATE IS FOUND QUALIFIED </w:t>
      </w:r>
      <w:r w:rsidR="006D4FFE">
        <w:rPr>
          <w:rFonts w:eastAsia="Times New Roman"/>
        </w:rPr>
        <w:t xml:space="preserve">BUT </w:t>
      </w:r>
      <w:r>
        <w:rPr>
          <w:rFonts w:eastAsia="Times New Roman"/>
        </w:rPr>
        <w:t xml:space="preserve">PRIOR TO THE </w:t>
      </w:r>
      <w:r w:rsidR="007744FB">
        <w:rPr>
          <w:rFonts w:eastAsia="Times New Roman"/>
        </w:rPr>
        <w:t>ISSUANCE OF THE COM</w:t>
      </w:r>
      <w:r w:rsidR="0023270B">
        <w:rPr>
          <w:rFonts w:eastAsia="Times New Roman"/>
        </w:rPr>
        <w:t>MISSION’S REPORT</w:t>
      </w:r>
      <w:r>
        <w:rPr>
          <w:rFonts w:eastAsia="Times New Roman"/>
        </w:rPr>
        <w:t>.</w:t>
      </w:r>
    </w:p>
    <w:p w:rsidR="00D1570E" w:rsidRDefault="00D1570E" w:rsidP="00D15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570E" w:rsidRDefault="00D1570E" w:rsidP="00D15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1570E" w:rsidRDefault="00D1570E" w:rsidP="00D15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570E" w:rsidRDefault="00D1570E" w:rsidP="00D15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2-19-30</w:t>
      </w:r>
      <w:r w:rsidR="0023270B">
        <w:rPr>
          <w:rFonts w:eastAsia="Times New Roman"/>
        </w:rPr>
        <w:t>(C)</w:t>
      </w:r>
      <w:r>
        <w:rPr>
          <w:rFonts w:eastAsia="Times New Roman"/>
        </w:rPr>
        <w:t xml:space="preserve"> of the 1976 Code, as last amended by Act No. </w:t>
      </w:r>
      <w:r w:rsidR="00E82381">
        <w:rPr>
          <w:rFonts w:eastAsia="Times New Roman"/>
        </w:rPr>
        <w:t>219,</w:t>
      </w:r>
      <w:r>
        <w:rPr>
          <w:rFonts w:eastAsia="Times New Roman"/>
        </w:rPr>
        <w:t xml:space="preserve"> is amended to read:</w:t>
      </w:r>
    </w:p>
    <w:p w:rsidR="00E82381" w:rsidRPr="00E82381" w:rsidRDefault="00E82381" w:rsidP="00E8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25F7" w:rsidRPr="007744FB" w:rsidRDefault="007744FB" w:rsidP="00E8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E82381" w:rsidRPr="00E82381">
        <w:rPr>
          <w:rFonts w:eastAsia="Times New Roman"/>
        </w:rPr>
        <w:t xml:space="preserve">(C) A reasonable time thereafter the commission shall render its tentative findings as to whether the candidate is qualified for the office to be filled and its reasons therefor as to each candidate. </w:t>
      </w:r>
      <w:r w:rsidR="00FD25F7">
        <w:rPr>
          <w:rFonts w:eastAsia="Times New Roman"/>
        </w:rPr>
        <w:t xml:space="preserve"> </w:t>
      </w:r>
      <w:r w:rsidR="00DE36E0" w:rsidRPr="00DE36E0">
        <w:rPr>
          <w:rFonts w:eastAsia="Times New Roman"/>
          <w:u w:val="single"/>
        </w:rPr>
        <w:t>However, t</w:t>
      </w:r>
      <w:r w:rsidR="00FD25F7" w:rsidRPr="00DE36E0">
        <w:rPr>
          <w:rFonts w:eastAsia="Times New Roman"/>
          <w:u w:val="single"/>
        </w:rPr>
        <w:t xml:space="preserve">he </w:t>
      </w:r>
      <w:r w:rsidR="00FD25F7" w:rsidRPr="00FD25F7">
        <w:rPr>
          <w:rFonts w:eastAsia="Times New Roman"/>
          <w:u w:val="single"/>
        </w:rPr>
        <w:t xml:space="preserve">commission may reopen its public hearing </w:t>
      </w:r>
      <w:r w:rsidR="00FD25F7">
        <w:rPr>
          <w:rFonts w:eastAsia="Times New Roman"/>
          <w:u w:val="single"/>
        </w:rPr>
        <w:t xml:space="preserve">prior to the </w:t>
      </w:r>
      <w:r w:rsidR="00DE36E0">
        <w:rPr>
          <w:rFonts w:eastAsia="Times New Roman"/>
          <w:u w:val="single"/>
        </w:rPr>
        <w:t>issuance of it</w:t>
      </w:r>
      <w:r>
        <w:rPr>
          <w:rFonts w:eastAsia="Times New Roman"/>
          <w:u w:val="single"/>
        </w:rPr>
        <w:t>s</w:t>
      </w:r>
      <w:r w:rsidR="00DE36E0">
        <w:rPr>
          <w:rFonts w:eastAsia="Times New Roman"/>
          <w:u w:val="single"/>
        </w:rPr>
        <w:t xml:space="preserve"> findings </w:t>
      </w:r>
      <w:r w:rsidR="00FD25F7" w:rsidRPr="00FD25F7">
        <w:rPr>
          <w:rFonts w:eastAsia="Times New Roman"/>
          <w:u w:val="single"/>
        </w:rPr>
        <w:t xml:space="preserve">regarding a candidate if sufficient cause is determined by the </w:t>
      </w:r>
      <w:r w:rsidR="00FD25F7">
        <w:rPr>
          <w:rFonts w:eastAsia="Times New Roman"/>
          <w:u w:val="single"/>
        </w:rPr>
        <w:t>c</w:t>
      </w:r>
      <w:r w:rsidR="00FD25F7" w:rsidRPr="00FD25F7">
        <w:rPr>
          <w:rFonts w:eastAsia="Times New Roman"/>
          <w:u w:val="single"/>
        </w:rPr>
        <w:t xml:space="preserve">ommission for </w:t>
      </w:r>
      <w:r w:rsidR="00DE36E0">
        <w:rPr>
          <w:rFonts w:eastAsia="Times New Roman"/>
          <w:u w:val="single"/>
        </w:rPr>
        <w:t xml:space="preserve">reopening the </w:t>
      </w:r>
      <w:r w:rsidR="00FD25F7">
        <w:rPr>
          <w:rFonts w:eastAsia="Times New Roman"/>
          <w:u w:val="single"/>
        </w:rPr>
        <w:t>hearing</w:t>
      </w:r>
      <w:r w:rsidR="00FD25F7" w:rsidRPr="00FD25F7">
        <w:rPr>
          <w:rFonts w:eastAsia="Times New Roman"/>
          <w:u w:val="single"/>
        </w:rPr>
        <w:t xml:space="preserve">.  Sufficient cause could include, but is not limited to, </w:t>
      </w:r>
      <w:r w:rsidR="00FD25F7">
        <w:rPr>
          <w:rFonts w:eastAsia="Times New Roman"/>
          <w:u w:val="single"/>
        </w:rPr>
        <w:t xml:space="preserve">newly discovered evidence </w:t>
      </w:r>
      <w:r w:rsidR="00FD25F7" w:rsidRPr="00FD25F7">
        <w:rPr>
          <w:rFonts w:eastAsia="Times New Roman"/>
          <w:u w:val="single"/>
        </w:rPr>
        <w:t xml:space="preserve">related to the character and fitness of the candidate, which occurred </w:t>
      </w:r>
      <w:r w:rsidR="00FD25F7">
        <w:rPr>
          <w:rFonts w:eastAsia="Times New Roman"/>
          <w:u w:val="single"/>
        </w:rPr>
        <w:t>after the public hearing but prior to the commission’s issuance of its findings on the candidate.  Sufficient cause could also include a request by a majority of the General Assembly to reopen the public hearing on a judicial candidate or a request by a majority of a local delegation to reopen a public hearing for a master-in-equity candidate.</w:t>
      </w:r>
      <w:r w:rsidRPr="007744FB">
        <w:rPr>
          <w:rFonts w:eastAsia="Times New Roman"/>
        </w:rPr>
        <w:t>”</w:t>
      </w:r>
    </w:p>
    <w:p w:rsidR="007744FB" w:rsidRDefault="007744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611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1570E">
        <w:rPr>
          <w:rFonts w:eastAsia="Times New Roman"/>
        </w:rPr>
        <w:t>2</w:t>
      </w:r>
      <w:r>
        <w:rPr>
          <w:rFonts w:eastAsia="Times New Roman"/>
        </w:rPr>
        <w:t>.</w:t>
      </w:r>
      <w:r>
        <w:rPr>
          <w:rFonts w:eastAsia="Times New Roman"/>
        </w:rPr>
        <w:tab/>
        <w:t>This act takes effect upon approval by the Governor.</w:t>
      </w:r>
    </w:p>
    <w:p w:rsidR="00EA786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A7869" w:rsidRDefault="00EA7869" w:rsidP="0068793F">
      <w:pPr>
        <w:suppressAutoHyphens/>
        <w:jc w:val="both"/>
        <w:rPr>
          <w:rFonts w:eastAsia="Times New Roman"/>
        </w:rPr>
      </w:pPr>
    </w:p>
    <w:sectPr w:rsidR="00EA7869" w:rsidSect="0068793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11CC" w:rsidRDefault="009611CC" w:rsidP="00522CE0">
      <w:r>
        <w:separator/>
      </w:r>
    </w:p>
  </w:endnote>
  <w:endnote w:type="continuationSeparator" w:id="0">
    <w:p w:rsidR="009611CC" w:rsidRDefault="009611C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307FE2-8DE4-4752-BD27-C18A9D309CAD}"/>
    <w:embedBold r:id="rId2" w:fontKey="{CC34C353-98F4-4AB8-BB59-F222099A91B0}"/>
  </w:font>
  <w:font w:name="Calibri">
    <w:panose1 w:val="020F0502020204030204"/>
    <w:charset w:val="00"/>
    <w:family w:val="swiss"/>
    <w:pitch w:val="variable"/>
    <w:sig w:usb0="E10002FF" w:usb1="4000ACFF" w:usb2="00000009" w:usb3="00000000" w:csb0="0000019F" w:csb1="00000000"/>
    <w:embedRegular r:id="rId3" w:fontKey="{FE5E3DC3-E79D-4304-B71A-90281FBA19BC}"/>
    <w:embedBold r:id="rId4" w:fontKey="{43C83377-57EB-4138-BE06-183BEBFF1B27}"/>
  </w:font>
  <w:font w:name="Cambria">
    <w:panose1 w:val="02040503050406030204"/>
    <w:charset w:val="00"/>
    <w:family w:val="roman"/>
    <w:pitch w:val="variable"/>
    <w:sig w:usb0="E00002FF" w:usb1="400004FF" w:usb2="00000000" w:usb3="00000000" w:csb0="0000019F" w:csb1="00000000"/>
    <w:embedRegular r:id="rId5" w:fontKey="{58A2AA7B-C955-4107-92FA-B336E0641A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93F" w:rsidRPr="00EA7869" w:rsidRDefault="0068793F" w:rsidP="00EA7869">
    <w:pPr>
      <w:pStyle w:val="Footer"/>
      <w:tabs>
        <w:tab w:val="clear" w:pos="4680"/>
        <w:tab w:val="clear" w:pos="9360"/>
        <w:tab w:val="center" w:pos="2995"/>
      </w:tabs>
      <w:spacing w:before="120"/>
    </w:pPr>
    <w:r>
      <w:t>[352]</w:t>
    </w:r>
    <w:r>
      <w:tab/>
    </w:r>
    <w:r w:rsidR="00480CAD">
      <w:fldChar w:fldCharType="begin"/>
    </w:r>
    <w:r w:rsidR="00480CAD">
      <w:instrText xml:space="preserve"> PAGE  \* MERGEFORMAT </w:instrText>
    </w:r>
    <w:r w:rsidR="00480CAD">
      <w:fldChar w:fldCharType="separate"/>
    </w:r>
    <w:r w:rsidR="00480CAD">
      <w:rPr>
        <w:noProof/>
      </w:rPr>
      <w:t>1</w:t>
    </w:r>
    <w:r w:rsidR="00480CA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11CC" w:rsidRDefault="009611CC" w:rsidP="00522CE0">
      <w:r>
        <w:separator/>
      </w:r>
    </w:p>
  </w:footnote>
  <w:footnote w:type="continuationSeparator" w:id="0">
    <w:p w:rsidR="009611CC" w:rsidRDefault="009611C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6193"/>
  </w:hdrShapeDefaults>
  <w:footnotePr>
    <w:footnote w:id="-1"/>
    <w:footnote w:id="0"/>
  </w:footnotePr>
  <w:endnotePr>
    <w:endnote w:id="-1"/>
    <w:endnote w:id="0"/>
  </w:endnotePr>
  <w:compat>
    <w:compatSetting w:name="compatibilityMode" w:uri="http://schemas.microsoft.com/office/word" w:val="12"/>
  </w:compat>
  <w:docVars>
    <w:docVar w:name="clipname" w:val="JUD0064.JS"/>
    <w:docVar w:name="CoverAttorneyInitials" w:val="JS"/>
    <w:docVar w:name="CoverAttorneyLastName" w:val="Shuler"/>
    <w:docVar w:name="CoverBillType" w:val="b"/>
    <w:docVar w:name="DraftFileName" w:val="JUD0064.JS.DOCX"/>
    <w:docVar w:name="DraftStenoName" w:val="Craft"/>
    <w:docVar w:name="dvBillNumber" w:val="352"/>
    <w:docVar w:name="dvBillNumberPrefix" w:val="S. "/>
    <w:docVar w:name="dvOriginalBody" w:val="Senate"/>
    <w:docVar w:name="fulldraftpath" w:val="L:\S-JUD\BILLS\Rose\JUD0064.JS.DOCX"/>
    <w:docVar w:name="NameofBody" w:val="S"/>
    <w:docVar w:name="SenatorFolderName" w:val="Rose"/>
    <w:docVar w:name="VGROUP2" w:val="S-JUD"/>
  </w:docVars>
  <w:rsids>
    <w:rsidRoot w:val="00ED4720"/>
    <w:rsid w:val="000141EB"/>
    <w:rsid w:val="00032226"/>
    <w:rsid w:val="00042AC1"/>
    <w:rsid w:val="00046516"/>
    <w:rsid w:val="000902A0"/>
    <w:rsid w:val="000A4D08"/>
    <w:rsid w:val="000A6988"/>
    <w:rsid w:val="000B0720"/>
    <w:rsid w:val="000B5EAF"/>
    <w:rsid w:val="000E473B"/>
    <w:rsid w:val="000F002B"/>
    <w:rsid w:val="0010643D"/>
    <w:rsid w:val="00107C3D"/>
    <w:rsid w:val="00126995"/>
    <w:rsid w:val="0016543B"/>
    <w:rsid w:val="00170561"/>
    <w:rsid w:val="00174A1A"/>
    <w:rsid w:val="00186AC9"/>
    <w:rsid w:val="00190F47"/>
    <w:rsid w:val="00197DF1"/>
    <w:rsid w:val="001B3DD9"/>
    <w:rsid w:val="001D3BAC"/>
    <w:rsid w:val="00206D3D"/>
    <w:rsid w:val="0023270B"/>
    <w:rsid w:val="0024519E"/>
    <w:rsid w:val="00245C4E"/>
    <w:rsid w:val="0025188F"/>
    <w:rsid w:val="002C5896"/>
    <w:rsid w:val="00307C2B"/>
    <w:rsid w:val="0031409E"/>
    <w:rsid w:val="00333DF1"/>
    <w:rsid w:val="0033541C"/>
    <w:rsid w:val="00364389"/>
    <w:rsid w:val="003D6A5D"/>
    <w:rsid w:val="003D6E2B"/>
    <w:rsid w:val="003E7597"/>
    <w:rsid w:val="00412C9E"/>
    <w:rsid w:val="004505E5"/>
    <w:rsid w:val="00450668"/>
    <w:rsid w:val="00452CD7"/>
    <w:rsid w:val="00477696"/>
    <w:rsid w:val="00477FAC"/>
    <w:rsid w:val="00480CAD"/>
    <w:rsid w:val="00482608"/>
    <w:rsid w:val="00487DF6"/>
    <w:rsid w:val="004952FA"/>
    <w:rsid w:val="004A592F"/>
    <w:rsid w:val="004B6A22"/>
    <w:rsid w:val="004D168C"/>
    <w:rsid w:val="004D6923"/>
    <w:rsid w:val="004D7F37"/>
    <w:rsid w:val="0051584C"/>
    <w:rsid w:val="00520D79"/>
    <w:rsid w:val="00522CE0"/>
    <w:rsid w:val="00523239"/>
    <w:rsid w:val="00541FF6"/>
    <w:rsid w:val="00560181"/>
    <w:rsid w:val="00565148"/>
    <w:rsid w:val="00581497"/>
    <w:rsid w:val="00586B30"/>
    <w:rsid w:val="0058748C"/>
    <w:rsid w:val="00591DB1"/>
    <w:rsid w:val="00593361"/>
    <w:rsid w:val="005A5017"/>
    <w:rsid w:val="005A648C"/>
    <w:rsid w:val="005F15E4"/>
    <w:rsid w:val="00606D23"/>
    <w:rsid w:val="00641A16"/>
    <w:rsid w:val="006431BA"/>
    <w:rsid w:val="0065521B"/>
    <w:rsid w:val="0068793F"/>
    <w:rsid w:val="006B26A9"/>
    <w:rsid w:val="006B4B3C"/>
    <w:rsid w:val="006C74EA"/>
    <w:rsid w:val="006D4FFE"/>
    <w:rsid w:val="006E2B7E"/>
    <w:rsid w:val="00720D40"/>
    <w:rsid w:val="007318D4"/>
    <w:rsid w:val="0074065A"/>
    <w:rsid w:val="00746551"/>
    <w:rsid w:val="00765784"/>
    <w:rsid w:val="007744FB"/>
    <w:rsid w:val="007A4390"/>
    <w:rsid w:val="007C65B0"/>
    <w:rsid w:val="007E3B8F"/>
    <w:rsid w:val="007E5CB7"/>
    <w:rsid w:val="008314D2"/>
    <w:rsid w:val="008804AE"/>
    <w:rsid w:val="008B2F42"/>
    <w:rsid w:val="008E185F"/>
    <w:rsid w:val="008E5870"/>
    <w:rsid w:val="008F023B"/>
    <w:rsid w:val="008F15AB"/>
    <w:rsid w:val="008F7524"/>
    <w:rsid w:val="00904E16"/>
    <w:rsid w:val="00927C62"/>
    <w:rsid w:val="00931A96"/>
    <w:rsid w:val="009611CC"/>
    <w:rsid w:val="009716E9"/>
    <w:rsid w:val="00983951"/>
    <w:rsid w:val="00984124"/>
    <w:rsid w:val="00984640"/>
    <w:rsid w:val="00995C37"/>
    <w:rsid w:val="009C118A"/>
    <w:rsid w:val="009E6FEB"/>
    <w:rsid w:val="00A02011"/>
    <w:rsid w:val="00A205F1"/>
    <w:rsid w:val="00A35165"/>
    <w:rsid w:val="00A4011E"/>
    <w:rsid w:val="00A651AA"/>
    <w:rsid w:val="00A86015"/>
    <w:rsid w:val="00AE59C8"/>
    <w:rsid w:val="00B030B6"/>
    <w:rsid w:val="00B10098"/>
    <w:rsid w:val="00B10E10"/>
    <w:rsid w:val="00B35389"/>
    <w:rsid w:val="00B450FF"/>
    <w:rsid w:val="00B945C5"/>
    <w:rsid w:val="00BA20EA"/>
    <w:rsid w:val="00BC0A56"/>
    <w:rsid w:val="00C23348"/>
    <w:rsid w:val="00C6454A"/>
    <w:rsid w:val="00C74052"/>
    <w:rsid w:val="00CA3401"/>
    <w:rsid w:val="00CB187A"/>
    <w:rsid w:val="00CD7C71"/>
    <w:rsid w:val="00D1088B"/>
    <w:rsid w:val="00D156D2"/>
    <w:rsid w:val="00D1570E"/>
    <w:rsid w:val="00D37FA1"/>
    <w:rsid w:val="00D77EC0"/>
    <w:rsid w:val="00D86943"/>
    <w:rsid w:val="00DA47B9"/>
    <w:rsid w:val="00DE36E0"/>
    <w:rsid w:val="00E677A1"/>
    <w:rsid w:val="00E82381"/>
    <w:rsid w:val="00E91E2F"/>
    <w:rsid w:val="00EA3546"/>
    <w:rsid w:val="00EA7869"/>
    <w:rsid w:val="00EB1AAC"/>
    <w:rsid w:val="00EB47AE"/>
    <w:rsid w:val="00EC34E1"/>
    <w:rsid w:val="00ED0AE1"/>
    <w:rsid w:val="00ED4720"/>
    <w:rsid w:val="00F0234A"/>
    <w:rsid w:val="00F52959"/>
    <w:rsid w:val="00F532D4"/>
    <w:rsid w:val="00F55444"/>
    <w:rsid w:val="00F55884"/>
    <w:rsid w:val="00FB5399"/>
    <w:rsid w:val="00FC0450"/>
    <w:rsid w:val="00FC0D36"/>
    <w:rsid w:val="00FC536C"/>
    <w:rsid w:val="00FD25F7"/>
    <w:rsid w:val="00FF13F9"/>
    <w:rsid w:val="00FF4B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193"/>
    <o:shapelayout v:ext="edit">
      <o:idmap v:ext="edit" data="1"/>
    </o:shapelayout>
  </w:shapeDefaults>
  <w:doNotEmbedSmartTags/>
  <w:decimalSymbol w:val="."/>
  <w:listSeparator w:val=","/>
  <w15:docId w15:val="{666EFD6F-76A9-40DC-AF0F-69BB20272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6879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52_20110113.docx" TargetMode="External"/><Relationship Id="rId3" Type="http://schemas.openxmlformats.org/officeDocument/2006/relationships/webSettings" Target="webSettings.xml"/><Relationship Id="rId7" Type="http://schemas.openxmlformats.org/officeDocument/2006/relationships/hyperlink" Target="file:///h:\sj%20archive\2011\01-13-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3-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331</Words>
  <Characters>1809</Characters>
  <Application>Microsoft Office Word</Application>
  <DocSecurity>4</DocSecurity>
  <Lines>72</Lines>
  <Paragraphs>24</Paragraphs>
  <ScaleCrop>false</ScaleCrop>
  <Company> </Company>
  <LinksUpToDate>false</LinksUpToDate>
  <CharactersWithSpaces>2123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352: Judicial candidates - South Carolina Legislature Online</dc:title>
  <dc:subject/>
  <dc:creator>JaneShuler</dc:creator>
  <cp:keywords/>
  <dc:description/>
  <cp:lastModifiedBy>N Cumfer</cp:lastModifiedBy>
  <cp:revision>2</cp:revision>
  <cp:lastPrinted>2010-12-20T16:50:00Z</cp:lastPrinted>
  <dcterms:created xsi:type="dcterms:W3CDTF">2014-11-21T20:36:00Z</dcterms:created>
  <dcterms:modified xsi:type="dcterms:W3CDTF">2014-11-21T20:36:00Z</dcterms:modified>
</cp:coreProperties>
</file>