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E525E">
        <w:rPr>
          <w:rFonts w:eastAsia="Times New Roman" w:cs="Times New Roman"/>
          <w:b/>
          <w:szCs w:val="20"/>
        </w:rPr>
        <w:t>South Carolina General Assembly</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E525E">
        <w:rPr>
          <w:rFonts w:eastAsia="Times New Roman" w:cs="Times New Roman"/>
          <w:szCs w:val="20"/>
        </w:rPr>
        <w:t>119th Session, 2011-2012</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525E" w:rsidRPr="002E525E" w:rsidRDefault="008B233D"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A110, R117, H3731</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525E">
        <w:rPr>
          <w:rFonts w:eastAsia="Times New Roman" w:cs="Times New Roman"/>
          <w:b/>
          <w:szCs w:val="20"/>
        </w:rPr>
        <w:t>STATUS INFORMATION</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525E">
        <w:rPr>
          <w:rFonts w:eastAsia="Times New Roman" w:cs="Times New Roman"/>
          <w:szCs w:val="20"/>
        </w:rPr>
        <w:t>General Bill</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525E">
        <w:rPr>
          <w:rFonts w:eastAsia="Times New Roman" w:cs="Times New Roman"/>
          <w:szCs w:val="20"/>
        </w:rPr>
        <w:t>Sponsors: Reps. Owens, Brantley, Daning, Brannon, Atwater, Patrick, Erickson, Bowen, R.L. Brown, Crosby, Long, Taylor and Willis</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525E">
        <w:rPr>
          <w:rFonts w:eastAsia="Times New Roman" w:cs="Times New Roman"/>
          <w:szCs w:val="20"/>
        </w:rPr>
        <w:t>Document Path: l:\council\bills\swb\5074cm11.docx</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72A6" w:rsidRDefault="006B72A6"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2011</w:t>
      </w:r>
    </w:p>
    <w:p w:rsidR="006B72A6" w:rsidRDefault="006B72A6"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2011</w:t>
      </w:r>
    </w:p>
    <w:p w:rsidR="006B72A6" w:rsidRDefault="006B72A6"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11, 2012</w:t>
      </w:r>
    </w:p>
    <w:p w:rsidR="006B72A6" w:rsidRDefault="006B72A6"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6B72A6" w:rsidRDefault="006B72A6"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525E">
        <w:rPr>
          <w:rFonts w:eastAsia="Times New Roman" w:cs="Times New Roman"/>
          <w:szCs w:val="20"/>
        </w:rPr>
        <w:t>Summary: Housemoving license</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525E" w:rsidRPr="002E525E" w:rsidRDefault="002E525E" w:rsidP="002E525E">
      <w:pPr>
        <w:widowControl w:val="0"/>
        <w:tabs>
          <w:tab w:val="center" w:pos="590"/>
          <w:tab w:val="center" w:pos="1440"/>
          <w:tab w:val="left" w:pos="1872"/>
          <w:tab w:val="left" w:pos="9187"/>
        </w:tabs>
        <w:rPr>
          <w:rFonts w:eastAsia="Times New Roman" w:cs="Times New Roman"/>
          <w:szCs w:val="20"/>
        </w:rPr>
      </w:pPr>
      <w:r w:rsidRPr="002E525E">
        <w:rPr>
          <w:rFonts w:eastAsia="Times New Roman" w:cs="Times New Roman"/>
          <w:b/>
          <w:szCs w:val="20"/>
        </w:rPr>
        <w:t>HISTORY OF LEGISLATIVE ACTIONS</w:t>
      </w:r>
    </w:p>
    <w:p w:rsidR="002E525E" w:rsidRPr="002E525E" w:rsidRDefault="002E525E" w:rsidP="002E525E">
      <w:pPr>
        <w:widowControl w:val="0"/>
        <w:tabs>
          <w:tab w:val="center" w:pos="590"/>
          <w:tab w:val="center" w:pos="1440"/>
          <w:tab w:val="left" w:pos="1872"/>
          <w:tab w:val="left" w:pos="9187"/>
        </w:tabs>
        <w:rPr>
          <w:rFonts w:eastAsia="Times New Roman" w:cs="Times New Roman"/>
          <w:szCs w:val="20"/>
        </w:rPr>
      </w:pPr>
    </w:p>
    <w:p w:rsidR="002E525E" w:rsidRPr="002E525E" w:rsidRDefault="002E525E" w:rsidP="002E525E">
      <w:pPr>
        <w:widowControl w:val="0"/>
        <w:tabs>
          <w:tab w:val="center" w:pos="590"/>
          <w:tab w:val="center" w:pos="1440"/>
          <w:tab w:val="left" w:pos="1872"/>
          <w:tab w:val="left" w:pos="9187"/>
        </w:tabs>
        <w:rPr>
          <w:rFonts w:eastAsia="Times New Roman" w:cs="Times New Roman"/>
          <w:szCs w:val="20"/>
        </w:rPr>
      </w:pPr>
      <w:r w:rsidRPr="002E525E">
        <w:rPr>
          <w:rFonts w:eastAsia="Times New Roman" w:cs="Times New Roman"/>
          <w:szCs w:val="20"/>
          <w:u w:val="single"/>
        </w:rPr>
        <w:tab/>
        <w:t>Date</w:t>
      </w:r>
      <w:r w:rsidRPr="002E525E">
        <w:rPr>
          <w:rFonts w:eastAsia="Times New Roman" w:cs="Times New Roman"/>
          <w:szCs w:val="20"/>
          <w:u w:val="single"/>
        </w:rPr>
        <w:tab/>
        <w:t>Body</w:t>
      </w:r>
      <w:r w:rsidRPr="002E525E">
        <w:rPr>
          <w:rFonts w:eastAsia="Times New Roman" w:cs="Times New Roman"/>
          <w:szCs w:val="20"/>
          <w:u w:val="single"/>
        </w:rPr>
        <w:tab/>
        <w:t>Action Description with journal page number</w:t>
      </w:r>
      <w:r w:rsidRPr="002E525E">
        <w:rPr>
          <w:rFonts w:eastAsia="Times New Roman" w:cs="Times New Roman"/>
          <w:szCs w:val="20"/>
          <w:u w:val="single"/>
        </w:rPr>
        <w:tab/>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FE5283">
        <w:rPr>
          <w:rFonts w:cs="Times New Roman"/>
        </w:rPr>
        <w:t>Introduced and read first time (</w:t>
      </w:r>
      <w:hyperlink r:id="rId7" w:history="1">
        <w:r w:rsidRPr="00FE5283">
          <w:rPr>
            <w:rStyle w:val="Hyperlink"/>
            <w:rFonts w:cs="Times New Roman"/>
          </w:rPr>
          <w:t>House Journal</w:t>
        </w:r>
        <w:r w:rsidRPr="00FE5283">
          <w:rPr>
            <w:rStyle w:val="Hyperlink"/>
            <w:rFonts w:cs="Times New Roman"/>
          </w:rPr>
          <w:noBreakHyphen/>
          <w:t>page 11</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FE5283">
        <w:rPr>
          <w:rFonts w:cs="Times New Roman"/>
        </w:rPr>
        <w:t>Referred to C</w:t>
      </w:r>
      <w:r>
        <w:rPr>
          <w:rFonts w:cs="Times New Roman"/>
        </w:rPr>
        <w:t xml:space="preserve">ommittee on </w:t>
      </w:r>
      <w:r w:rsidRPr="00FE5283">
        <w:rPr>
          <w:rFonts w:cs="Times New Roman"/>
          <w:b/>
        </w:rPr>
        <w:t>Labor, Commerce and Industry</w:t>
      </w:r>
      <w:r w:rsidRPr="00FE5283">
        <w:rPr>
          <w:rFonts w:cs="Times New Roman"/>
        </w:rPr>
        <w:t xml:space="preserve"> (</w:t>
      </w:r>
      <w:hyperlink r:id="rId8" w:history="1">
        <w:r w:rsidRPr="00FE5283">
          <w:rPr>
            <w:rStyle w:val="Hyperlink"/>
            <w:rFonts w:cs="Times New Roman"/>
          </w:rPr>
          <w:t>House Journal</w:t>
        </w:r>
        <w:r w:rsidRPr="00FE5283">
          <w:rPr>
            <w:rStyle w:val="Hyperlink"/>
            <w:rFonts w:cs="Times New Roman"/>
          </w:rPr>
          <w:noBreakHyphen/>
          <w:t>page 11</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FE5283">
        <w:rPr>
          <w:rFonts w:cs="Times New Roman"/>
        </w:rPr>
        <w:t>Recalled from C</w:t>
      </w:r>
      <w:r>
        <w:rPr>
          <w:rFonts w:cs="Times New Roman"/>
        </w:rPr>
        <w:t xml:space="preserve">ommittee on </w:t>
      </w:r>
      <w:r w:rsidRPr="00FE5283">
        <w:rPr>
          <w:rFonts w:cs="Times New Roman"/>
          <w:b/>
        </w:rPr>
        <w:t>Labor, Commerce and Industry</w:t>
      </w:r>
      <w:r w:rsidRPr="00FE5283">
        <w:rPr>
          <w:rFonts w:cs="Times New Roman"/>
        </w:rPr>
        <w:t xml:space="preserve"> (</w:t>
      </w:r>
      <w:hyperlink r:id="rId9" w:history="1">
        <w:r w:rsidRPr="00FE5283">
          <w:rPr>
            <w:rStyle w:val="Hyperlink"/>
            <w:rFonts w:cs="Times New Roman"/>
          </w:rPr>
          <w:t>House Journal</w:t>
        </w:r>
        <w:r w:rsidRPr="00FE5283">
          <w:rPr>
            <w:rStyle w:val="Hyperlink"/>
            <w:rFonts w:cs="Times New Roman"/>
          </w:rPr>
          <w:noBreakHyphen/>
          <w:t>page 48</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FE5283">
        <w:rPr>
          <w:rFonts w:cs="Times New Roman"/>
        </w:rPr>
        <w:t>Referred to Co</w:t>
      </w:r>
      <w:r>
        <w:rPr>
          <w:rFonts w:cs="Times New Roman"/>
        </w:rPr>
        <w:t xml:space="preserve">mmittee on </w:t>
      </w:r>
      <w:r w:rsidRPr="00FE5283">
        <w:rPr>
          <w:rFonts w:cs="Times New Roman"/>
          <w:b/>
        </w:rPr>
        <w:t>Education and Public Works</w:t>
      </w:r>
      <w:r w:rsidRPr="00FE5283">
        <w:rPr>
          <w:rFonts w:cs="Times New Roman"/>
        </w:rPr>
        <w:t xml:space="preserve"> (</w:t>
      </w:r>
      <w:hyperlink r:id="rId10" w:history="1">
        <w:r w:rsidRPr="00FE5283">
          <w:rPr>
            <w:rStyle w:val="Hyperlink"/>
            <w:rFonts w:cs="Times New Roman"/>
          </w:rPr>
          <w:t>House Journal</w:t>
        </w:r>
        <w:r w:rsidRPr="00FE5283">
          <w:rPr>
            <w:rStyle w:val="Hyperlink"/>
            <w:rFonts w:cs="Times New Roman"/>
          </w:rPr>
          <w:noBreakHyphen/>
          <w:t>page 48</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FE5283">
        <w:rPr>
          <w:rFonts w:cs="Times New Roman"/>
        </w:rPr>
        <w:t>Committee report:</w:t>
      </w:r>
      <w:r>
        <w:rPr>
          <w:rFonts w:cs="Times New Roman"/>
        </w:rPr>
        <w:t xml:space="preserve"> Favorable </w:t>
      </w:r>
      <w:r w:rsidRPr="00FE5283">
        <w:rPr>
          <w:rFonts w:cs="Times New Roman"/>
          <w:b/>
        </w:rPr>
        <w:t>Education and Public Works</w:t>
      </w:r>
      <w:r w:rsidRPr="00FE5283">
        <w:rPr>
          <w:rFonts w:cs="Times New Roman"/>
        </w:rPr>
        <w:t xml:space="preserve"> (</w:t>
      </w:r>
      <w:hyperlink r:id="rId11" w:history="1">
        <w:r w:rsidRPr="00FE5283">
          <w:rPr>
            <w:rStyle w:val="Hyperlink"/>
            <w:rFonts w:cs="Times New Roman"/>
          </w:rPr>
          <w:t>House Journal</w:t>
        </w:r>
        <w:r w:rsidRPr="00FE5283">
          <w:rPr>
            <w:rStyle w:val="Hyperlink"/>
            <w:rFonts w:cs="Times New Roman"/>
          </w:rPr>
          <w:noBreakHyphen/>
          <w:t>page 12</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FE5283">
        <w:rPr>
          <w:rFonts w:cs="Times New Roman"/>
        </w:rPr>
        <w:t>Debate adjourned</w:t>
      </w:r>
      <w:r>
        <w:rPr>
          <w:rFonts w:cs="Times New Roman"/>
        </w:rPr>
        <w:t xml:space="preserve"> until Wednesday, April 6, 2011 </w:t>
      </w:r>
      <w:r w:rsidRPr="00FE5283">
        <w:rPr>
          <w:rFonts w:cs="Times New Roman"/>
        </w:rPr>
        <w:t>(</w:t>
      </w:r>
      <w:hyperlink r:id="rId12" w:history="1">
        <w:r w:rsidRPr="00FE5283">
          <w:rPr>
            <w:rStyle w:val="Hyperlink"/>
            <w:rFonts w:cs="Times New Roman"/>
          </w:rPr>
          <w:t>House Journal</w:t>
        </w:r>
        <w:r w:rsidRPr="00FE5283">
          <w:rPr>
            <w:rStyle w:val="Hyperlink"/>
            <w:rFonts w:cs="Times New Roman"/>
          </w:rPr>
          <w:noBreakHyphen/>
          <w:t>page 19</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FE5283">
        <w:rPr>
          <w:rFonts w:cs="Times New Roman"/>
        </w:rPr>
        <w:t xml:space="preserve">Debate adjourned </w:t>
      </w:r>
      <w:r>
        <w:rPr>
          <w:rFonts w:cs="Times New Roman"/>
        </w:rPr>
        <w:t xml:space="preserve">until Wednesday, April 13, 2011 </w:t>
      </w:r>
      <w:r w:rsidRPr="00FE5283">
        <w:rPr>
          <w:rFonts w:cs="Times New Roman"/>
        </w:rPr>
        <w:t>(</w:t>
      </w:r>
      <w:hyperlink r:id="rId13" w:history="1">
        <w:r w:rsidRPr="00FE5283">
          <w:rPr>
            <w:rStyle w:val="Hyperlink"/>
            <w:rFonts w:cs="Times New Roman"/>
          </w:rPr>
          <w:t>House Journal</w:t>
        </w:r>
        <w:r w:rsidRPr="00FE5283">
          <w:rPr>
            <w:rStyle w:val="Hyperlink"/>
            <w:rFonts w:cs="Times New Roman"/>
          </w:rPr>
          <w:noBreakHyphen/>
          <w:t>page 21</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E5283">
        <w:rPr>
          <w:rFonts w:cs="Times New Roman"/>
        </w:rPr>
        <w:t>Requests for debate</w:t>
      </w:r>
      <w:r>
        <w:rPr>
          <w:rFonts w:cs="Times New Roman"/>
        </w:rPr>
        <w:noBreakHyphen/>
      </w:r>
      <w:r w:rsidRPr="00FE5283">
        <w:rPr>
          <w:rFonts w:cs="Times New Roman"/>
        </w:rPr>
        <w:t>Rep(s)</w:t>
      </w:r>
      <w:r>
        <w:rPr>
          <w:rFonts w:cs="Times New Roman"/>
        </w:rPr>
        <w:t xml:space="preserve">. Sellers, Crawford, </w:t>
      </w:r>
      <w:r w:rsidRPr="00FE5283">
        <w:rPr>
          <w:rFonts w:cs="Times New Roman"/>
        </w:rPr>
        <w:t>Sabb, Danin</w:t>
      </w:r>
      <w:r>
        <w:rPr>
          <w:rFonts w:cs="Times New Roman"/>
        </w:rPr>
        <w:t xml:space="preserve">g, G Brown, RL Brown, Hiott, JR </w:t>
      </w:r>
      <w:r w:rsidRPr="00FE5283">
        <w:rPr>
          <w:rFonts w:cs="Times New Roman"/>
        </w:rPr>
        <w:t>Smith, Bikas,</w:t>
      </w:r>
      <w:r>
        <w:rPr>
          <w:rFonts w:cs="Times New Roman"/>
        </w:rPr>
        <w:t xml:space="preserve"> Gilliard, Anderson, Alexander, </w:t>
      </w:r>
      <w:r w:rsidRPr="00FE5283">
        <w:rPr>
          <w:rFonts w:cs="Times New Roman"/>
        </w:rPr>
        <w:t>Jefferson, Willia</w:t>
      </w:r>
      <w:r>
        <w:rPr>
          <w:rFonts w:cs="Times New Roman"/>
        </w:rPr>
        <w:t xml:space="preserve">ms, Erickson, Brantley, Atwater </w:t>
      </w:r>
      <w:r w:rsidRPr="00FE5283">
        <w:rPr>
          <w:rFonts w:cs="Times New Roman"/>
        </w:rPr>
        <w:t>(</w:t>
      </w:r>
      <w:hyperlink r:id="rId14" w:history="1">
        <w:r w:rsidRPr="00FE5283">
          <w:rPr>
            <w:rStyle w:val="Hyperlink"/>
            <w:rFonts w:cs="Times New Roman"/>
          </w:rPr>
          <w:t>House Journal</w:t>
        </w:r>
        <w:r w:rsidRPr="00FE5283">
          <w:rPr>
            <w:rStyle w:val="Hyperlink"/>
            <w:rFonts w:cs="Times New Roman"/>
          </w:rPr>
          <w:noBreakHyphen/>
          <w:t>page 30</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E5283">
        <w:rPr>
          <w:rFonts w:cs="Times New Roman"/>
        </w:rPr>
        <w:t>Read second time (</w:t>
      </w:r>
      <w:hyperlink r:id="rId15" w:history="1">
        <w:r w:rsidRPr="00FE5283">
          <w:rPr>
            <w:rStyle w:val="Hyperlink"/>
            <w:rFonts w:cs="Times New Roman"/>
          </w:rPr>
          <w:t>House Journal</w:t>
        </w:r>
        <w:r w:rsidRPr="00FE5283">
          <w:rPr>
            <w:rStyle w:val="Hyperlink"/>
            <w:rFonts w:cs="Times New Roman"/>
          </w:rPr>
          <w:noBreakHyphen/>
          <w:t>page 92</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E5283">
        <w:rPr>
          <w:rFonts w:cs="Times New Roman"/>
        </w:rPr>
        <w:t>Roll call Yeas</w:t>
      </w:r>
      <w:r>
        <w:rPr>
          <w:rFonts w:cs="Times New Roman"/>
        </w:rPr>
        <w:noBreakHyphen/>
      </w:r>
      <w:r w:rsidRPr="00FE5283">
        <w:rPr>
          <w:rFonts w:cs="Times New Roman"/>
        </w:rPr>
        <w:t>80  Nays</w:t>
      </w:r>
      <w:r>
        <w:rPr>
          <w:rFonts w:cs="Times New Roman"/>
        </w:rPr>
        <w:noBreakHyphen/>
      </w:r>
      <w:r w:rsidRPr="00FE5283">
        <w:rPr>
          <w:rFonts w:cs="Times New Roman"/>
        </w:rPr>
        <w:t>9 (</w:t>
      </w:r>
      <w:hyperlink r:id="rId16" w:history="1">
        <w:r w:rsidRPr="00FE5283">
          <w:rPr>
            <w:rStyle w:val="Hyperlink"/>
            <w:rFonts w:cs="Times New Roman"/>
          </w:rPr>
          <w:t>House Journal</w:t>
        </w:r>
        <w:r w:rsidRPr="00FE5283">
          <w:rPr>
            <w:rStyle w:val="Hyperlink"/>
            <w:rFonts w:cs="Times New Roman"/>
          </w:rPr>
          <w:noBreakHyphen/>
          <w:t>page 92</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FE5283">
        <w:rPr>
          <w:rFonts w:cs="Times New Roman"/>
        </w:rPr>
        <w:t>Rea</w:t>
      </w:r>
      <w:r>
        <w:rPr>
          <w:rFonts w:cs="Times New Roman"/>
        </w:rPr>
        <w:t xml:space="preserve">d third time and sent to Senate </w:t>
      </w:r>
      <w:r w:rsidRPr="00FE5283">
        <w:rPr>
          <w:rFonts w:cs="Times New Roman"/>
        </w:rPr>
        <w:t>(</w:t>
      </w:r>
      <w:hyperlink r:id="rId17" w:history="1">
        <w:r w:rsidRPr="00FE5283">
          <w:rPr>
            <w:rStyle w:val="Hyperlink"/>
            <w:rFonts w:cs="Times New Roman"/>
          </w:rPr>
          <w:t>House Journal</w:t>
        </w:r>
        <w:r w:rsidRPr="00FE5283">
          <w:rPr>
            <w:rStyle w:val="Hyperlink"/>
            <w:rFonts w:cs="Times New Roman"/>
          </w:rPr>
          <w:noBreakHyphen/>
          <w:t>page 38</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FE5283">
        <w:rPr>
          <w:rFonts w:cs="Times New Roman"/>
        </w:rPr>
        <w:t>Introduced and read first time (</w:t>
      </w:r>
      <w:hyperlink r:id="rId18" w:history="1">
        <w:r w:rsidRPr="00FE5283">
          <w:rPr>
            <w:rStyle w:val="Hyperlink"/>
            <w:rFonts w:cs="Times New Roman"/>
          </w:rPr>
          <w:t>Senate Journal</w:t>
        </w:r>
        <w:r w:rsidRPr="00FE5283">
          <w:rPr>
            <w:rStyle w:val="Hyperlink"/>
            <w:rFonts w:cs="Times New Roman"/>
          </w:rPr>
          <w:noBreakHyphen/>
          <w:t>page 10</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FE5283">
        <w:rPr>
          <w:rFonts w:cs="Times New Roman"/>
        </w:rPr>
        <w:t>Referred</w:t>
      </w:r>
      <w:r>
        <w:rPr>
          <w:rFonts w:cs="Times New Roman"/>
        </w:rPr>
        <w:t xml:space="preserve"> to Committee on </w:t>
      </w:r>
      <w:r w:rsidRPr="00FE5283">
        <w:rPr>
          <w:rFonts w:cs="Times New Roman"/>
          <w:b/>
        </w:rPr>
        <w:t>Transportation</w:t>
      </w:r>
      <w:r>
        <w:rPr>
          <w:rFonts w:cs="Times New Roman"/>
        </w:rPr>
        <w:t xml:space="preserve"> </w:t>
      </w:r>
      <w:r w:rsidRPr="00FE5283">
        <w:rPr>
          <w:rFonts w:cs="Times New Roman"/>
        </w:rPr>
        <w:t>(</w:t>
      </w:r>
      <w:hyperlink r:id="rId19" w:history="1">
        <w:r w:rsidRPr="00FE5283">
          <w:rPr>
            <w:rStyle w:val="Hyperlink"/>
            <w:rFonts w:cs="Times New Roman"/>
          </w:rPr>
          <w:t>Senate Journal</w:t>
        </w:r>
        <w:r w:rsidRPr="00FE5283">
          <w:rPr>
            <w:rStyle w:val="Hyperlink"/>
            <w:rFonts w:cs="Times New Roman"/>
          </w:rPr>
          <w:noBreakHyphen/>
          <w:t>page 10</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FE5283">
        <w:rPr>
          <w:rFonts w:cs="Times New Roman"/>
        </w:rPr>
        <w:t>Committee report: Favo</w:t>
      </w:r>
      <w:r>
        <w:rPr>
          <w:rFonts w:cs="Times New Roman"/>
        </w:rPr>
        <w:t xml:space="preserve">rable </w:t>
      </w:r>
      <w:r w:rsidRPr="00FE5283">
        <w:rPr>
          <w:rFonts w:cs="Times New Roman"/>
          <w:b/>
        </w:rPr>
        <w:t>Transportation</w:t>
      </w:r>
      <w:r>
        <w:rPr>
          <w:rFonts w:cs="Times New Roman"/>
        </w:rPr>
        <w:t xml:space="preserve"> </w:t>
      </w:r>
      <w:r w:rsidRPr="00FE5283">
        <w:rPr>
          <w:rFonts w:cs="Times New Roman"/>
        </w:rPr>
        <w:t>(</w:t>
      </w:r>
      <w:hyperlink r:id="rId20" w:history="1">
        <w:r w:rsidRPr="00FE5283">
          <w:rPr>
            <w:rStyle w:val="Hyperlink"/>
            <w:rFonts w:cs="Times New Roman"/>
          </w:rPr>
          <w:t>Senate Journal</w:t>
        </w:r>
        <w:r w:rsidRPr="00FE5283">
          <w:rPr>
            <w:rStyle w:val="Hyperlink"/>
            <w:rFonts w:cs="Times New Roman"/>
          </w:rPr>
          <w:noBreakHyphen/>
          <w:t>page 11</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r>
      <w:r>
        <w:rPr>
          <w:rFonts w:cs="Times New Roman"/>
        </w:rPr>
        <w:tab/>
      </w:r>
      <w:r w:rsidRPr="00FE5283">
        <w:rPr>
          <w:rFonts w:cs="Times New Roman"/>
        </w:rPr>
        <w:t>Scrivener's error corrected</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E5283">
        <w:rPr>
          <w:rFonts w:cs="Times New Roman"/>
        </w:rPr>
        <w:t>Read second time</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E5283">
        <w:rPr>
          <w:rFonts w:cs="Times New Roman"/>
        </w:rPr>
        <w:t>Roll call Ayes</w:t>
      </w:r>
      <w:r>
        <w:rPr>
          <w:rFonts w:cs="Times New Roman"/>
        </w:rPr>
        <w:noBreakHyphen/>
      </w:r>
      <w:r w:rsidRPr="00FE5283">
        <w:rPr>
          <w:rFonts w:cs="Times New Roman"/>
        </w:rPr>
        <w:t>33  Nays</w:t>
      </w:r>
      <w:r>
        <w:rPr>
          <w:rFonts w:cs="Times New Roman"/>
        </w:rPr>
        <w:noBreakHyphen/>
      </w:r>
      <w:r w:rsidRPr="00FE5283">
        <w:rPr>
          <w:rFonts w:cs="Times New Roman"/>
        </w:rPr>
        <w:t>3</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FE5283">
        <w:rPr>
          <w:rFonts w:cs="Times New Roman"/>
        </w:rPr>
        <w:t>Read third time and enrolled (</w:t>
      </w:r>
      <w:hyperlink r:id="rId21" w:history="1">
        <w:r w:rsidRPr="00FE5283">
          <w:rPr>
            <w:rStyle w:val="Hyperlink"/>
            <w:rFonts w:cs="Times New Roman"/>
          </w:rPr>
          <w:t>Senate Journal</w:t>
        </w:r>
        <w:r w:rsidRPr="00FE5283">
          <w:rPr>
            <w:rStyle w:val="Hyperlink"/>
            <w:rFonts w:cs="Times New Roman"/>
          </w:rPr>
          <w:noBreakHyphen/>
          <w:t>page 12</w:t>
        </w:r>
      </w:hyperlink>
      <w:r w:rsidRPr="00FE5283">
        <w:rPr>
          <w:rFonts w:cs="Times New Roman"/>
        </w:rPr>
        <w:t>)</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FE5283">
        <w:rPr>
          <w:rFonts w:cs="Times New Roman"/>
        </w:rPr>
        <w:t>Ratified R 117</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FE5283">
        <w:rPr>
          <w:rFonts w:cs="Times New Roman"/>
        </w:rPr>
        <w:t>Signed By Governor</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FE5283">
        <w:rPr>
          <w:rFonts w:cs="Times New Roman"/>
        </w:rPr>
        <w:t>Effective date 02/01/12</w:t>
      </w:r>
    </w:p>
    <w:p w:rsidR="00BE762C" w:rsidRDefault="00BE762C" w:rsidP="00BE762C">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FE5283">
        <w:rPr>
          <w:rFonts w:cs="Times New Roman"/>
        </w:rPr>
        <w:t>Act No</w:t>
      </w:r>
      <w:r>
        <w:rPr>
          <w:rFonts w:cs="Times New Roman"/>
        </w:rPr>
        <w:t>. </w:t>
      </w:r>
      <w:r w:rsidRPr="00FE5283">
        <w:rPr>
          <w:rFonts w:cs="Times New Roman"/>
        </w:rPr>
        <w:t>110</w:t>
      </w:r>
    </w:p>
    <w:p w:rsidR="00BE762C" w:rsidRDefault="00BE762C" w:rsidP="00BE762C">
      <w:pPr>
        <w:widowControl w:val="0"/>
        <w:tabs>
          <w:tab w:val="right" w:pos="1008"/>
          <w:tab w:val="left" w:pos="1152"/>
          <w:tab w:val="left" w:pos="1872"/>
          <w:tab w:val="left" w:pos="9187"/>
        </w:tabs>
        <w:ind w:left="2088" w:hanging="2088"/>
        <w:rPr>
          <w:rFonts w:cs="Times New Roman"/>
        </w:rPr>
      </w:pPr>
    </w:p>
    <w:p w:rsidR="002E525E" w:rsidRPr="002E525E" w:rsidRDefault="002E525E" w:rsidP="002E525E">
      <w:pPr>
        <w:widowControl w:val="0"/>
        <w:tabs>
          <w:tab w:val="right" w:pos="1008"/>
          <w:tab w:val="left" w:pos="1152"/>
          <w:tab w:val="left" w:pos="1872"/>
          <w:tab w:val="left" w:pos="9187"/>
        </w:tabs>
        <w:ind w:left="2088" w:hanging="2088"/>
        <w:rPr>
          <w:rFonts w:eastAsia="Times New Roman" w:cs="Times New Roman"/>
          <w:szCs w:val="20"/>
        </w:rPr>
      </w:pP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E525E">
        <w:rPr>
          <w:rFonts w:eastAsia="Times New Roman" w:cs="Times New Roman"/>
          <w:b/>
          <w:szCs w:val="20"/>
        </w:rPr>
        <w:t>VERSIONS OF THIS BILL</w:t>
      </w:r>
    </w:p>
    <w:p w:rsidR="002E525E" w:rsidRPr="002E525E" w:rsidRDefault="002E525E"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525E" w:rsidRPr="002E525E" w:rsidRDefault="00322764" w:rsidP="002E52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2E525E" w:rsidRPr="002E525E">
          <w:rPr>
            <w:rFonts w:eastAsia="Times New Roman" w:cs="Times New Roman"/>
            <w:color w:val="0000FF" w:themeColor="hyperlink"/>
            <w:szCs w:val="20"/>
            <w:u w:val="single"/>
          </w:rPr>
          <w:t>2/23/2011</w:t>
        </w:r>
      </w:hyperlink>
    </w:p>
    <w:p w:rsidR="002E525E" w:rsidRPr="002E525E" w:rsidRDefault="00322764" w:rsidP="002E5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E525E" w:rsidRPr="002E525E">
          <w:rPr>
            <w:rFonts w:eastAsia="Times New Roman" w:cs="Times New Roman"/>
            <w:color w:val="0000FF" w:themeColor="hyperlink"/>
            <w:szCs w:val="20"/>
            <w:u w:val="single"/>
          </w:rPr>
          <w:t>3/30/2011</w:t>
        </w:r>
      </w:hyperlink>
    </w:p>
    <w:p w:rsidR="002E525E" w:rsidRPr="002E525E" w:rsidRDefault="00322764" w:rsidP="002E5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E525E" w:rsidRPr="002E525E">
          <w:rPr>
            <w:rFonts w:eastAsia="Times New Roman" w:cs="Times New Roman"/>
            <w:color w:val="0000FF" w:themeColor="hyperlink"/>
            <w:szCs w:val="20"/>
            <w:u w:val="single"/>
          </w:rPr>
          <w:t>5/25/2011</w:t>
        </w:r>
      </w:hyperlink>
    </w:p>
    <w:p w:rsidR="002E525E" w:rsidRPr="002E525E" w:rsidRDefault="00322764" w:rsidP="002E5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E525E" w:rsidRPr="002E525E">
          <w:rPr>
            <w:rFonts w:eastAsia="Times New Roman" w:cs="Times New Roman"/>
            <w:color w:val="0000FF" w:themeColor="hyperlink"/>
            <w:szCs w:val="20"/>
            <w:u w:val="single"/>
          </w:rPr>
          <w:t>5/26/2011</w:t>
        </w:r>
      </w:hyperlink>
    </w:p>
    <w:p w:rsidR="002E525E" w:rsidRPr="002E525E" w:rsidRDefault="002E525E" w:rsidP="002E5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E525E" w:rsidRDefault="002E525E" w:rsidP="002E5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E525E" w:rsidSect="002E525E">
          <w:pgSz w:w="12240" w:h="15840" w:code="1"/>
          <w:pgMar w:top="1080" w:right="1440" w:bottom="1080" w:left="1440" w:header="720" w:footer="720" w:gutter="0"/>
          <w:pgNumType w:start="1"/>
          <w:cols w:space="720"/>
          <w:noEndnote/>
          <w:docGrid w:linePitch="360"/>
        </w:sectPr>
      </w:pPr>
    </w:p>
    <w:p w:rsidR="00A44D96"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(A110, R117, H3731)</w:t>
      </w:r>
    </w:p>
    <w:p w:rsidR="00A44D96" w:rsidRPr="008836A5"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44D96" w:rsidRPr="002E525E"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E525E">
        <w:rPr>
          <w:rFonts w:cs="Times New Roman"/>
          <w:b/>
          <w:color w:val="000000" w:themeColor="text1"/>
          <w:szCs w:val="36"/>
        </w:rPr>
        <w:t xml:space="preserve">AN ACT </w:t>
      </w:r>
      <w:r w:rsidRPr="002E525E">
        <w:rPr>
          <w:rFonts w:cs="Times New Roman"/>
          <w:b/>
        </w:rPr>
        <w:t>TO AMEND SECTION 56</w:t>
      </w:r>
      <w:r w:rsidRPr="002E525E">
        <w:rPr>
          <w:rFonts w:cs="Times New Roman"/>
          <w:b/>
        </w:rPr>
        <w:noBreakHyphen/>
        <w:t>27</w:t>
      </w:r>
      <w:r w:rsidRPr="002E525E">
        <w:rPr>
          <w:rFonts w:cs="Times New Roman"/>
          <w:b/>
        </w:rPr>
        <w:noBreakHyphen/>
        <w:t>30, CODE OF LAWS OF SOUTH CAROLINA, 1976, RELATING TO THE TERM AND COST OF A PROFESSIONAL HOUSEMOVING LICENSE, SO AS TO REVISE THE ANNUAL RENEWAL FEE; AND TO AMEND SECTION 57</w:t>
      </w:r>
      <w:r w:rsidRPr="002E525E">
        <w:rPr>
          <w:rFonts w:cs="Times New Roman"/>
          <w:b/>
        </w:rPr>
        <w:noBreakHyphen/>
        <w:t>3</w:t>
      </w:r>
      <w:r w:rsidRPr="002E525E">
        <w:rPr>
          <w:rFonts w:cs="Times New Roman"/>
          <w:b/>
        </w:rPr>
        <w:noBreakHyphen/>
        <w:t>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Be it enacted by the General Assembly of the State of South Carolina:</w:t>
      </w:r>
    </w:p>
    <w:p w:rsidR="00A44D96"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10B7">
        <w:rPr>
          <w:rFonts w:cs="Times New Roman"/>
          <w:b/>
        </w:rPr>
        <w:t>Professional moving license</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SECTION</w:t>
      </w:r>
      <w:r w:rsidRPr="00D50914">
        <w:rPr>
          <w:rFonts w:cs="Times New Roman"/>
        </w:rPr>
        <w:tab/>
        <w:t>1.</w:t>
      </w:r>
      <w:r w:rsidRPr="00D50914">
        <w:rPr>
          <w:rFonts w:cs="Times New Roman"/>
        </w:rPr>
        <w:tab/>
        <w:t>Section 56</w:t>
      </w:r>
      <w:r>
        <w:rPr>
          <w:rFonts w:cs="Times New Roman"/>
        </w:rPr>
        <w:noBreakHyphen/>
      </w:r>
      <w:r w:rsidRPr="00D50914">
        <w:rPr>
          <w:rFonts w:cs="Times New Roman"/>
        </w:rPr>
        <w:t>27</w:t>
      </w:r>
      <w:r>
        <w:rPr>
          <w:rFonts w:cs="Times New Roman"/>
        </w:rPr>
        <w:noBreakHyphen/>
      </w:r>
      <w:r w:rsidRPr="00D50914">
        <w:rPr>
          <w:rFonts w:cs="Times New Roman"/>
        </w:rPr>
        <w:t>30 of the 1976 Code is amended to read:</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“Section 56</w:t>
      </w:r>
      <w:r>
        <w:rPr>
          <w:rFonts w:cs="Times New Roman"/>
        </w:rPr>
        <w:noBreakHyphen/>
      </w:r>
      <w:r w:rsidRPr="00D50914">
        <w:rPr>
          <w:rFonts w:cs="Times New Roman"/>
        </w:rPr>
        <w:t>27</w:t>
      </w:r>
      <w:r>
        <w:rPr>
          <w:rFonts w:cs="Times New Roman"/>
        </w:rPr>
        <w:noBreakHyphen/>
      </w:r>
      <w:r w:rsidRPr="00D50914">
        <w:rPr>
          <w:rFonts w:cs="Times New Roman"/>
        </w:rPr>
        <w:t>30.</w:t>
      </w:r>
      <w:r w:rsidRPr="00D50914">
        <w:rPr>
          <w:rFonts w:cs="Times New Roman"/>
        </w:rPr>
        <w:tab/>
      </w:r>
      <w:r w:rsidRPr="00D50914">
        <w:rPr>
          <w:rFonts w:cs="Times New Roman"/>
        </w:rPr>
        <w:tab/>
        <w:t>A license issued under the provisions of this chapter is effective for a period of one year from the date of issuance and is renewable on an annual basis</w:t>
      </w:r>
      <w:r w:rsidRPr="00D50914">
        <w:t xml:space="preserve">.  </w:t>
      </w:r>
      <w:r w:rsidRPr="00D50914">
        <w:rPr>
          <w:rFonts w:cs="Times New Roman"/>
        </w:rPr>
        <w:t>The annual and renewal fee for the license is</w:t>
      </w:r>
      <w:r w:rsidRPr="00D50914">
        <w:t xml:space="preserve"> </w:t>
      </w:r>
      <w:r w:rsidRPr="00D50914">
        <w:rPr>
          <w:rFonts w:cs="Times New Roman"/>
        </w:rPr>
        <w:t>contained in Section 57</w:t>
      </w:r>
      <w:r>
        <w:rPr>
          <w:rFonts w:cs="Times New Roman"/>
        </w:rPr>
        <w:noBreakHyphen/>
      </w:r>
      <w:r w:rsidRPr="00D50914">
        <w:rPr>
          <w:rFonts w:cs="Times New Roman"/>
        </w:rPr>
        <w:t>3</w:t>
      </w:r>
      <w:r>
        <w:rPr>
          <w:rFonts w:cs="Times New Roman"/>
        </w:rPr>
        <w:noBreakHyphen/>
      </w:r>
      <w:r w:rsidRPr="00D50914">
        <w:rPr>
          <w:rFonts w:cs="Times New Roman"/>
        </w:rPr>
        <w:t>130</w:t>
      </w:r>
      <w:r w:rsidRPr="00D50914">
        <w:t xml:space="preserve">.  </w:t>
      </w:r>
      <w:r w:rsidRPr="00D50914">
        <w:rPr>
          <w:rFonts w:cs="Times New Roman"/>
        </w:rPr>
        <w:t>All persons issued licenses under the provisions of this chapter are required to carry the license on their persons at all times when engaged in the profession of housemoving on the roads and highways of this State.”</w:t>
      </w:r>
    </w:p>
    <w:p w:rsidR="00A44D96"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Pr="002A10B7"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A10B7">
        <w:rPr>
          <w:rFonts w:cs="Times New Roman"/>
          <w:b/>
        </w:rPr>
        <w:t>Special permits to operate or move certain vehicles</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SECTION</w:t>
      </w:r>
      <w:r w:rsidRPr="00D50914">
        <w:rPr>
          <w:rFonts w:cs="Times New Roman"/>
        </w:rPr>
        <w:tab/>
        <w:t>2.</w:t>
      </w:r>
      <w:r w:rsidRPr="00D50914">
        <w:rPr>
          <w:rFonts w:cs="Times New Roman"/>
        </w:rPr>
        <w:tab/>
        <w:t>Section 57</w:t>
      </w:r>
      <w:r>
        <w:rPr>
          <w:rFonts w:cs="Times New Roman"/>
        </w:rPr>
        <w:noBreakHyphen/>
      </w:r>
      <w:r w:rsidRPr="00D50914">
        <w:rPr>
          <w:rFonts w:cs="Times New Roman"/>
        </w:rPr>
        <w:t>3</w:t>
      </w:r>
      <w:r>
        <w:rPr>
          <w:rFonts w:cs="Times New Roman"/>
        </w:rPr>
        <w:noBreakHyphen/>
      </w:r>
      <w:r w:rsidRPr="00D50914">
        <w:rPr>
          <w:rFonts w:cs="Times New Roman"/>
        </w:rPr>
        <w:t>130(A) and (B) of the 1976 Code, as last amended by Act 353 of 2008, is further amended to read:</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“(A)</w:t>
      </w:r>
      <w:r w:rsidRPr="00D50914">
        <w:rPr>
          <w:rFonts w:cs="Times New Roman"/>
        </w:rPr>
        <w:tab/>
        <w:t>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w:t>
      </w:r>
      <w:r w:rsidRPr="00D50914">
        <w:t xml:space="preserve">.  </w:t>
      </w:r>
      <w:r w:rsidRPr="00D50914">
        <w:rPr>
          <w:rFonts w:cs="Times New Roman"/>
        </w:rPr>
        <w:t>The application for the permit specifically must describe the vehicle and load to be operated or moved and the particular highways for which a permit to operate is requested</w:t>
      </w:r>
      <w:r w:rsidRPr="00D50914">
        <w:t xml:space="preserve">.  </w:t>
      </w:r>
      <w:r w:rsidRPr="00D50914">
        <w:rPr>
          <w:rFonts w:cs="Times New Roman"/>
        </w:rPr>
        <w:t>A permit must be carried in the vehicle or combination of vehicles to which it refers and must be open to inspection by a police officer or an authorized agent of the authority granting the permit</w:t>
      </w:r>
      <w:r w:rsidRPr="00D50914">
        <w:t xml:space="preserve">.  </w:t>
      </w:r>
      <w:r w:rsidRPr="00D50914">
        <w:rPr>
          <w:rFonts w:cs="Times New Roman"/>
        </w:rPr>
        <w:t>No person may violate the terms or conditions of the special permit</w:t>
      </w:r>
      <w:r w:rsidRPr="00D50914">
        <w:t xml:space="preserve">.  </w:t>
      </w:r>
      <w:r w:rsidRPr="00D50914">
        <w:rPr>
          <w:rFonts w:cs="Times New Roman"/>
        </w:rPr>
        <w:t>Fees collected pursuant to this section must be placed in the state highway fund and used for defraying the cost of issuing and administering the permits and for other highway purposes</w:t>
      </w:r>
      <w:r w:rsidRPr="00D50914">
        <w:t xml:space="preserve">.  </w:t>
      </w:r>
      <w:r w:rsidRPr="00D50914">
        <w:rPr>
          <w:rFonts w:cs="Times New Roman"/>
        </w:rPr>
        <w:t xml:space="preserve">The department may charge the following rates for oversize or overweight permits and licenses: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Single Trip</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$30.00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Excessive Width Over 16 feet</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$35.00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Excessive Width Over 18 feet</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$40.00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Excessive Width Over 20 feet</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$45.00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Excessive Width Over 22 feet</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$50.00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Multiple Trip (Annual)</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 xml:space="preserve"> $ 100.00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Housem</w:t>
      </w:r>
      <w:r w:rsidRPr="00D50914">
        <w:rPr>
          <w:rFonts w:cs="Times New Roman"/>
        </w:rPr>
        <w:t>oving License (Annual)</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 xml:space="preserve"> $ 100.00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Superload Application (Non</w:t>
      </w:r>
      <w:r>
        <w:rPr>
          <w:rFonts w:cs="Times New Roman"/>
        </w:rPr>
        <w:noBreakHyphen/>
      </w:r>
      <w:r w:rsidRPr="00D50914">
        <w:rPr>
          <w:rFonts w:cs="Times New Roman"/>
        </w:rPr>
        <w:t>Refundable)</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 xml:space="preserve"> $ 100.00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Superload Engineer Analysis Over 130,000 pounds</w:t>
      </w:r>
      <w:r w:rsidRPr="00D50914">
        <w:rPr>
          <w:rFonts w:cs="Times New Roman"/>
        </w:rPr>
        <w:tab/>
      </w:r>
      <w:r w:rsidRPr="00D50914">
        <w:rPr>
          <w:rFonts w:cs="Times New Roman"/>
        </w:rPr>
        <w:tab/>
        <w:t xml:space="preserve"> $ 100.00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Superload Engineer Analysis Over 200,000 pounds</w:t>
      </w:r>
      <w:r w:rsidRPr="00D50914">
        <w:rPr>
          <w:rFonts w:cs="Times New Roman"/>
        </w:rPr>
        <w:tab/>
      </w:r>
      <w:r w:rsidRPr="00D50914">
        <w:rPr>
          <w:rFonts w:cs="Times New Roman"/>
        </w:rPr>
        <w:tab/>
        <w:t xml:space="preserve"> $ 200.00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Superload Engineer Analysis Over 300,000 pounds</w:t>
      </w:r>
      <w:r w:rsidRPr="00D50914">
        <w:rPr>
          <w:rFonts w:cs="Times New Roman"/>
        </w:rPr>
        <w:tab/>
      </w:r>
      <w:r w:rsidRPr="00D50914">
        <w:rPr>
          <w:rFonts w:cs="Times New Roman"/>
        </w:rPr>
        <w:tab/>
        <w:t xml:space="preserve"> $ 350.00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 xml:space="preserve">Superload Impact Fee for Loads Over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130,000 pounds</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$3.00/1,000 pounds</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 xml:space="preserve">Administration Fee for Prorating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Active Annual Permits</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$10.00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Administration Fee for Road Machinery Permits</w:t>
      </w:r>
      <w:r w:rsidRPr="00D50914">
        <w:rPr>
          <w:rFonts w:cs="Times New Roman"/>
        </w:rPr>
        <w:tab/>
      </w:r>
      <w:r w:rsidRPr="00D50914">
        <w:rPr>
          <w:rFonts w:cs="Times New Roman"/>
        </w:rPr>
        <w:tab/>
      </w:r>
      <w:r w:rsidRPr="00D50914">
        <w:rPr>
          <w:rFonts w:cs="Times New Roman"/>
        </w:rPr>
        <w:tab/>
      </w:r>
      <w:r w:rsidRPr="00D50914">
        <w:rPr>
          <w:rFonts w:cs="Times New Roman"/>
        </w:rPr>
        <w:tab/>
        <w:t>$10.00</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Additional Megaload Impact Fee for Loads</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Over 500,000 pounds</w:t>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r>
      <w:r w:rsidRPr="00D50914">
        <w:rPr>
          <w:rFonts w:cs="Times New Roman"/>
        </w:rPr>
        <w:tab/>
        <w:t>$.05/1000 lbs/mile</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t>(B)(1)</w:t>
      </w:r>
      <w:r w:rsidRPr="00D50914">
        <w:rPr>
          <w:rFonts w:cs="Times New Roman"/>
        </w:rPr>
        <w:tab/>
        <w:t xml:space="preserve">The Department of Transportation may exercise its discretion in issuing permits for the movement of all types of vehicles which exceed the legal size and weight limits, if the: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(a)</w:t>
      </w:r>
      <w:r w:rsidRPr="00D50914">
        <w:rPr>
          <w:rFonts w:cs="Times New Roman"/>
        </w:rPr>
        <w:tab/>
        <w:t xml:space="preserve">load carried on the vehicle cannot be disassembled readily;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(b)</w:t>
      </w:r>
      <w:r w:rsidRPr="00D50914">
        <w:rPr>
          <w:rFonts w:cs="Times New Roman"/>
        </w:rPr>
        <w:tab/>
        <w:t xml:space="preserve">movements are made so as not to damage the highways nor unduly interfere with highway traffic.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t>(2)</w:t>
      </w:r>
      <w:r w:rsidRPr="00D50914">
        <w:rPr>
          <w:rFonts w:cs="Times New Roman"/>
        </w:rPr>
        <w:tab/>
        <w:t xml:space="preserve">The Department of Transportation may limit or prescribe the conditions of operation of the vehicles provided for in item (1) and may require insurance or other security it considers necessary.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t>(3)</w:t>
      </w:r>
      <w:r w:rsidRPr="00D50914">
        <w:rPr>
          <w:rFonts w:cs="Times New Roman"/>
        </w:rPr>
        <w:tab/>
        <w:t xml:space="preserve">The following are general provisions applicable to all oversize and overweight loads: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(a)</w:t>
      </w:r>
      <w:r w:rsidRPr="00D50914">
        <w:rPr>
          <w:rFonts w:cs="Times New Roman"/>
        </w:rPr>
        <w:tab/>
        <w:t xml:space="preserve">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(b)</w:t>
      </w:r>
      <w:r w:rsidRPr="00D50914">
        <w:rPr>
          <w:rFonts w:cs="Times New Roman"/>
        </w:rPr>
        <w:tab/>
        <w:t xml:space="preserve">Before granting a permit, the Department of Transportation, at its discretion, may require the vehicle owner or operator to furnish a certificate showing the amount of public liability and property damage insurance carried.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(c)</w:t>
      </w:r>
      <w:r w:rsidRPr="00D50914">
        <w:rPr>
          <w:rFonts w:cs="Times New Roman"/>
        </w:rPr>
        <w:tab/>
        <w:t xml:space="preserve">All vehicles shall meet the requirements of all applicable laws and regulations.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(d)</w:t>
      </w:r>
      <w:r w:rsidRPr="00D50914">
        <w:rPr>
          <w:rFonts w:cs="Times New Roman"/>
        </w:rPr>
        <w:tab/>
        <w:t xml:space="preserve">Overwidth loads or mobile homes must be moved over sections of highways selected by the Department of Transportation.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(e)</w:t>
      </w:r>
      <w:r w:rsidRPr="00D50914">
        <w:rPr>
          <w:rFonts w:cs="Times New Roman"/>
        </w:rPr>
        <w:tab/>
        <w:t>The Department of Transportation</w:t>
      </w:r>
      <w:r w:rsidRPr="00D50914">
        <w:t xml:space="preserve"> </w:t>
      </w:r>
      <w:r w:rsidRPr="00D50914">
        <w:rPr>
          <w:rFonts w:cs="Times New Roman"/>
        </w:rPr>
        <w:t>may determine the</w:t>
      </w:r>
      <w:r w:rsidRPr="00D50914">
        <w:t xml:space="preserve"> </w:t>
      </w:r>
      <w:r w:rsidRPr="00D50914">
        <w:rPr>
          <w:rFonts w:cs="Times New Roman"/>
        </w:rPr>
        <w:t xml:space="preserve">maximum speeds at which permitted loads are to operate.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r>
      <w:r w:rsidRPr="00D50914">
        <w:rPr>
          <w:rFonts w:cs="Times New Roman"/>
        </w:rPr>
        <w:tab/>
        <w:t>(f)</w:t>
      </w:r>
      <w:r w:rsidRPr="00D50914">
        <w:rPr>
          <w:rFonts w:cs="Times New Roman"/>
        </w:rPr>
        <w:tab/>
        <w:t>The driver shall remove the towing vehicle along with the load or mobile home from the traveled way to allow closely following traffic, five vehicles maximum, to pass and proceed</w:t>
      </w:r>
      <w:r w:rsidRPr="00D50914">
        <w:t xml:space="preserve">.  </w:t>
      </w:r>
      <w:r w:rsidRPr="00D50914">
        <w:rPr>
          <w:rFonts w:cs="Times New Roman"/>
        </w:rPr>
        <w:t>For any load traveling under police escort, this must be done at the discretion of the escort officer.</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t>(4)</w:t>
      </w:r>
      <w:r w:rsidRPr="00D50914">
        <w:rPr>
          <w:rFonts w:cs="Times New Roman"/>
        </w:rPr>
        <w:tab/>
        <w:t>Applications for overweight and oversize permits must be submitted on forms provided by the Department of Transportation and must include all the necessary information required</w:t>
      </w:r>
      <w:r w:rsidRPr="00D50914">
        <w:t xml:space="preserve">.  </w:t>
      </w:r>
      <w:r w:rsidRPr="00D50914">
        <w:rPr>
          <w:rFonts w:cs="Times New Roman"/>
        </w:rPr>
        <w:t>Each application must be accompanied by the permit fee before it may be issued</w:t>
      </w:r>
      <w:r w:rsidRPr="00D50914">
        <w:t xml:space="preserve">.  </w:t>
      </w:r>
      <w:r w:rsidRPr="00D50914">
        <w:rPr>
          <w:rFonts w:cs="Times New Roman"/>
        </w:rPr>
        <w:t xml:space="preserve">The permit fee accompanying an application that is rejected must be returned to the person or company named within the application. </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t>(5)</w:t>
      </w:r>
      <w:r w:rsidRPr="00D50914">
        <w:rPr>
          <w:rFonts w:cs="Times New Roman"/>
        </w:rPr>
        <w:tab/>
        <w:t>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w:t>
      </w:r>
      <w:r w:rsidRPr="00D50914">
        <w:t xml:space="preserve">.  </w:t>
      </w:r>
      <w:r w:rsidRPr="00D50914">
        <w:rPr>
          <w:rFonts w:cs="Times New Roman"/>
        </w:rPr>
        <w:t>For loads exceeding five hundred thousand pounds, there is an additional megaload impact fee assessed on the entire gross vehicle weight on a pounds per mile basis as provided in the permits and licenses rates table contained in subsection (A).</w:t>
      </w:r>
    </w:p>
    <w:p w:rsidR="00A44D96" w:rsidRPr="00D50914"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ab/>
      </w:r>
      <w:r w:rsidRPr="00D50914">
        <w:rPr>
          <w:rFonts w:cs="Times New Roman"/>
        </w:rPr>
        <w:tab/>
        <w:t>(6)</w:t>
      </w:r>
      <w:r w:rsidRPr="00D50914">
        <w:rPr>
          <w:rFonts w:cs="Times New Roman"/>
        </w:rPr>
        <w:tab/>
        <w:t>The State reserves the right to recall or not issue permits in accordance with the limitations provided in this section if there is an abuse of the permit or the permit would cause an unnecessary amount of disruption in the normal traffic flow.”</w:t>
      </w:r>
    </w:p>
    <w:p w:rsidR="00A44D96" w:rsidRDefault="00A44D96"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Pr="002A10B7" w:rsidRDefault="00A44D96" w:rsidP="00A44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A10B7">
        <w:rPr>
          <w:rFonts w:cs="Times New Roman"/>
          <w:b/>
        </w:rPr>
        <w:t>Time effective</w:t>
      </w:r>
    </w:p>
    <w:p w:rsidR="00A44D96" w:rsidRPr="00D50914" w:rsidRDefault="00A44D96" w:rsidP="00A44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4D96" w:rsidRPr="00D50914" w:rsidRDefault="00A44D96" w:rsidP="00A44D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0914">
        <w:rPr>
          <w:rFonts w:cs="Times New Roman"/>
        </w:rPr>
        <w:t>SECTION</w:t>
      </w:r>
      <w:r w:rsidRPr="00D50914">
        <w:rPr>
          <w:rFonts w:cs="Times New Roman"/>
        </w:rPr>
        <w:tab/>
        <w:t>3.</w:t>
      </w:r>
      <w:r w:rsidRPr="00D50914">
        <w:rPr>
          <w:rFonts w:cs="Times New Roman"/>
        </w:rPr>
        <w:tab/>
        <w:t>This act takes effect upon approval by the Governor.</w:t>
      </w:r>
    </w:p>
    <w:p w:rsidR="00A44D96" w:rsidRDefault="00A44D96" w:rsidP="00A44D96">
      <w:pPr>
        <w:keepNext/>
        <w:tabs>
          <w:tab w:val="left" w:pos="1440"/>
          <w:tab w:val="left" w:pos="1800"/>
          <w:tab w:val="left" w:pos="2880"/>
        </w:tabs>
        <w:rPr>
          <w:color w:val="000000" w:themeColor="text1"/>
        </w:rPr>
      </w:pPr>
    </w:p>
    <w:p w:rsidR="00A44D96" w:rsidRDefault="00A44D96" w:rsidP="00A44D96">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A44D96" w:rsidRDefault="00A44D96" w:rsidP="00A44D96">
      <w:pPr>
        <w:tabs>
          <w:tab w:val="left" w:pos="1440"/>
          <w:tab w:val="left" w:pos="1800"/>
          <w:tab w:val="left" w:pos="2880"/>
        </w:tabs>
        <w:rPr>
          <w:color w:val="000000" w:themeColor="text1"/>
        </w:rPr>
      </w:pPr>
    </w:p>
    <w:p w:rsidR="00A44D96" w:rsidRDefault="00A44D96" w:rsidP="00A44D96">
      <w:pPr>
        <w:tabs>
          <w:tab w:val="left" w:pos="1440"/>
          <w:tab w:val="left" w:pos="1800"/>
          <w:tab w:val="left" w:pos="2880"/>
        </w:tabs>
        <w:rPr>
          <w:color w:val="000000" w:themeColor="text1"/>
        </w:rPr>
      </w:pPr>
      <w:r>
        <w:rPr>
          <w:color w:val="000000" w:themeColor="text1"/>
        </w:rPr>
        <w:t>Approved the 1</w:t>
      </w:r>
      <w:r w:rsidRPr="00F61FA4">
        <w:rPr>
          <w:color w:val="000000" w:themeColor="text1"/>
          <w:vertAlign w:val="superscript"/>
        </w:rPr>
        <w:t>st</w:t>
      </w:r>
      <w:r>
        <w:rPr>
          <w:color w:val="000000" w:themeColor="text1"/>
        </w:rPr>
        <w:t xml:space="preserve"> day of February, 2012. </w:t>
      </w:r>
    </w:p>
    <w:p w:rsidR="00A44D96" w:rsidRDefault="00A44D96" w:rsidP="00A44D96">
      <w:pPr>
        <w:tabs>
          <w:tab w:val="left" w:pos="1440"/>
          <w:tab w:val="left" w:pos="1800"/>
          <w:tab w:val="left" w:pos="2880"/>
        </w:tabs>
        <w:jc w:val="center"/>
        <w:rPr>
          <w:color w:val="000000" w:themeColor="text1"/>
        </w:rPr>
      </w:pPr>
    </w:p>
    <w:p w:rsidR="00A44D96" w:rsidRDefault="00A44D96" w:rsidP="00A44D96">
      <w:pPr>
        <w:tabs>
          <w:tab w:val="left" w:pos="1440"/>
          <w:tab w:val="left" w:pos="1800"/>
          <w:tab w:val="left" w:pos="2880"/>
        </w:tabs>
        <w:jc w:val="center"/>
        <w:rPr>
          <w:color w:val="000000" w:themeColor="text1"/>
        </w:rPr>
      </w:pPr>
      <w:r>
        <w:rPr>
          <w:color w:val="000000" w:themeColor="text1"/>
        </w:rPr>
        <w:t>__________</w:t>
      </w:r>
    </w:p>
    <w:p w:rsidR="008836A5" w:rsidRPr="00145E0A" w:rsidRDefault="008836A5" w:rsidP="00A44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45E0A" w:rsidSect="002E525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F7A" w:rsidRDefault="00AC6F7A" w:rsidP="007D5FAC">
      <w:r>
        <w:separator/>
      </w:r>
    </w:p>
  </w:endnote>
  <w:endnote w:type="continuationSeparator" w:id="0">
    <w:p w:rsidR="00AC6F7A" w:rsidRDefault="00AC6F7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5E" w:rsidRPr="002E525E" w:rsidRDefault="002E525E" w:rsidP="002E525E">
    <w:pPr>
      <w:pStyle w:val="Footer"/>
      <w:tabs>
        <w:tab w:val="clear" w:pos="4680"/>
        <w:tab w:val="clear" w:pos="9360"/>
        <w:tab w:val="center" w:pos="3168"/>
      </w:tabs>
      <w:spacing w:before="120"/>
    </w:pPr>
    <w:r>
      <w:tab/>
    </w:r>
    <w:r w:rsidR="00597DC3">
      <w:fldChar w:fldCharType="begin"/>
    </w:r>
    <w:r w:rsidR="00571C1B">
      <w:instrText xml:space="preserve"> PAGE  \* MERGEFORMAT </w:instrText>
    </w:r>
    <w:r w:rsidR="00597DC3">
      <w:fldChar w:fldCharType="separate"/>
    </w:r>
    <w:r w:rsidR="00A44D96">
      <w:rPr>
        <w:noProof/>
      </w:rPr>
      <w:t>4</w:t>
    </w:r>
    <w:r w:rsidR="00597D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5E" w:rsidRDefault="002E5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F7A" w:rsidRDefault="00AC6F7A" w:rsidP="007D5FAC">
      <w:r>
        <w:separator/>
      </w:r>
    </w:p>
  </w:footnote>
  <w:footnote w:type="continuationSeparator" w:id="0">
    <w:p w:rsidR="00AC6F7A" w:rsidRDefault="00AC6F7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731"/>
    <w:docVar w:name="ActSecretary" w:val="Barden"/>
    <w:docVar w:name="ActSIdno" w:val="(984)  3731CM12"/>
    <w:docVar w:name="clipname" w:val="3731CM12"/>
    <w:docVar w:name="dvBillNumber" w:val="3731"/>
    <w:docVar w:name="dvBillNumberPrefix" w:val="H"/>
    <w:docVar w:name="dvOriginalBody" w:val="House"/>
    <w:docVar w:name="HOUSEACTFULLPATH" w:val="L:\COUNCIL\ACTS\3731CM12.DOCX"/>
    <w:docVar w:name="OrigHOUSEBillNo" w:val="3731"/>
    <w:docVar w:name="WhatActtype" w:val="AN ACT"/>
  </w:docVars>
  <w:rsids>
    <w:rsidRoot w:val="00955659"/>
    <w:rsid w:val="00002DE0"/>
    <w:rsid w:val="00020349"/>
    <w:rsid w:val="00020977"/>
    <w:rsid w:val="00021B0B"/>
    <w:rsid w:val="00040C05"/>
    <w:rsid w:val="00043BAD"/>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7C8"/>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5E0A"/>
    <w:rsid w:val="001576A1"/>
    <w:rsid w:val="001626DB"/>
    <w:rsid w:val="00170F30"/>
    <w:rsid w:val="00172771"/>
    <w:rsid w:val="001747A9"/>
    <w:rsid w:val="001750EA"/>
    <w:rsid w:val="001754BB"/>
    <w:rsid w:val="0018353C"/>
    <w:rsid w:val="00195F4E"/>
    <w:rsid w:val="001A13AB"/>
    <w:rsid w:val="001A2E57"/>
    <w:rsid w:val="001A646B"/>
    <w:rsid w:val="001A75A0"/>
    <w:rsid w:val="001B201B"/>
    <w:rsid w:val="001B65B6"/>
    <w:rsid w:val="001B78F9"/>
    <w:rsid w:val="001B7FF5"/>
    <w:rsid w:val="001C390F"/>
    <w:rsid w:val="001C603D"/>
    <w:rsid w:val="001C6957"/>
    <w:rsid w:val="001D0755"/>
    <w:rsid w:val="001D279C"/>
    <w:rsid w:val="001D31F1"/>
    <w:rsid w:val="001D6463"/>
    <w:rsid w:val="001E47D6"/>
    <w:rsid w:val="001E542D"/>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03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0B7"/>
    <w:rsid w:val="002A23CF"/>
    <w:rsid w:val="002A6880"/>
    <w:rsid w:val="002A7F6D"/>
    <w:rsid w:val="002B0C5E"/>
    <w:rsid w:val="002B787D"/>
    <w:rsid w:val="002C0E95"/>
    <w:rsid w:val="002C3DB3"/>
    <w:rsid w:val="002C4C93"/>
    <w:rsid w:val="002C7D37"/>
    <w:rsid w:val="002D3267"/>
    <w:rsid w:val="002D7489"/>
    <w:rsid w:val="002D7F22"/>
    <w:rsid w:val="002E0E09"/>
    <w:rsid w:val="002E2659"/>
    <w:rsid w:val="002E42ED"/>
    <w:rsid w:val="002E525E"/>
    <w:rsid w:val="002F1141"/>
    <w:rsid w:val="00304605"/>
    <w:rsid w:val="003049A0"/>
    <w:rsid w:val="00305689"/>
    <w:rsid w:val="00315C15"/>
    <w:rsid w:val="0031739F"/>
    <w:rsid w:val="003219FC"/>
    <w:rsid w:val="00322764"/>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2DD"/>
    <w:rsid w:val="003B355D"/>
    <w:rsid w:val="003B6BB7"/>
    <w:rsid w:val="003B746E"/>
    <w:rsid w:val="003C030C"/>
    <w:rsid w:val="003D2A73"/>
    <w:rsid w:val="003D5D65"/>
    <w:rsid w:val="003E2FE8"/>
    <w:rsid w:val="003E6B35"/>
    <w:rsid w:val="00400828"/>
    <w:rsid w:val="00412B47"/>
    <w:rsid w:val="004157C4"/>
    <w:rsid w:val="0041760A"/>
    <w:rsid w:val="00417A9C"/>
    <w:rsid w:val="00423310"/>
    <w:rsid w:val="00427BCB"/>
    <w:rsid w:val="00430DA3"/>
    <w:rsid w:val="004322B0"/>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2C8C"/>
    <w:rsid w:val="004D6971"/>
    <w:rsid w:val="004D716F"/>
    <w:rsid w:val="004E275E"/>
    <w:rsid w:val="004E6C25"/>
    <w:rsid w:val="004E747B"/>
    <w:rsid w:val="004E7E53"/>
    <w:rsid w:val="004F0258"/>
    <w:rsid w:val="004F0E6F"/>
    <w:rsid w:val="004F4494"/>
    <w:rsid w:val="004F4608"/>
    <w:rsid w:val="004F5867"/>
    <w:rsid w:val="004F6446"/>
    <w:rsid w:val="0050467C"/>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1C1B"/>
    <w:rsid w:val="00573BBA"/>
    <w:rsid w:val="005741F9"/>
    <w:rsid w:val="005839FC"/>
    <w:rsid w:val="00583CB3"/>
    <w:rsid w:val="005859EE"/>
    <w:rsid w:val="00591D7C"/>
    <w:rsid w:val="00594D39"/>
    <w:rsid w:val="00597DC3"/>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1A0"/>
    <w:rsid w:val="005F79FF"/>
    <w:rsid w:val="00602ACC"/>
    <w:rsid w:val="006055BC"/>
    <w:rsid w:val="00605B6E"/>
    <w:rsid w:val="00605C15"/>
    <w:rsid w:val="0060700F"/>
    <w:rsid w:val="00612BB0"/>
    <w:rsid w:val="00616994"/>
    <w:rsid w:val="006236C9"/>
    <w:rsid w:val="00624953"/>
    <w:rsid w:val="00625487"/>
    <w:rsid w:val="00626F43"/>
    <w:rsid w:val="0063724D"/>
    <w:rsid w:val="0064018A"/>
    <w:rsid w:val="00641A70"/>
    <w:rsid w:val="00643998"/>
    <w:rsid w:val="0064651C"/>
    <w:rsid w:val="00651313"/>
    <w:rsid w:val="00655550"/>
    <w:rsid w:val="00657AB1"/>
    <w:rsid w:val="00663AC3"/>
    <w:rsid w:val="00672966"/>
    <w:rsid w:val="00672C8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B72A6"/>
    <w:rsid w:val="006C2574"/>
    <w:rsid w:val="006C7535"/>
    <w:rsid w:val="006C7D00"/>
    <w:rsid w:val="006D5144"/>
    <w:rsid w:val="006E038F"/>
    <w:rsid w:val="006F22C0"/>
    <w:rsid w:val="006F290C"/>
    <w:rsid w:val="007009F2"/>
    <w:rsid w:val="00703D30"/>
    <w:rsid w:val="00704FF9"/>
    <w:rsid w:val="007052EC"/>
    <w:rsid w:val="00706B65"/>
    <w:rsid w:val="00711032"/>
    <w:rsid w:val="007261EE"/>
    <w:rsid w:val="00733A16"/>
    <w:rsid w:val="00733C4C"/>
    <w:rsid w:val="00737039"/>
    <w:rsid w:val="007373C7"/>
    <w:rsid w:val="00737680"/>
    <w:rsid w:val="00740BEB"/>
    <w:rsid w:val="007469F9"/>
    <w:rsid w:val="0074783A"/>
    <w:rsid w:val="007514EF"/>
    <w:rsid w:val="00765D0A"/>
    <w:rsid w:val="007746C2"/>
    <w:rsid w:val="00775B87"/>
    <w:rsid w:val="007802EC"/>
    <w:rsid w:val="00784A23"/>
    <w:rsid w:val="007946C3"/>
    <w:rsid w:val="007A44AD"/>
    <w:rsid w:val="007A4BCD"/>
    <w:rsid w:val="007A73EA"/>
    <w:rsid w:val="007A7F6B"/>
    <w:rsid w:val="007B0E40"/>
    <w:rsid w:val="007B296A"/>
    <w:rsid w:val="007B2D27"/>
    <w:rsid w:val="007B59FD"/>
    <w:rsid w:val="007C1C61"/>
    <w:rsid w:val="007C3D08"/>
    <w:rsid w:val="007C3EC8"/>
    <w:rsid w:val="007C7B7F"/>
    <w:rsid w:val="007D5FAC"/>
    <w:rsid w:val="007D7630"/>
    <w:rsid w:val="007E19E6"/>
    <w:rsid w:val="007E3A81"/>
    <w:rsid w:val="007F6631"/>
    <w:rsid w:val="007F6D46"/>
    <w:rsid w:val="007F7184"/>
    <w:rsid w:val="00800AD0"/>
    <w:rsid w:val="00803CDA"/>
    <w:rsid w:val="00805054"/>
    <w:rsid w:val="008066FB"/>
    <w:rsid w:val="0081729E"/>
    <w:rsid w:val="00825D2D"/>
    <w:rsid w:val="00832F5E"/>
    <w:rsid w:val="00836D7F"/>
    <w:rsid w:val="00841A98"/>
    <w:rsid w:val="00841BFC"/>
    <w:rsid w:val="008449B6"/>
    <w:rsid w:val="00850549"/>
    <w:rsid w:val="008510B0"/>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233D"/>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5659"/>
    <w:rsid w:val="009560AB"/>
    <w:rsid w:val="009631DC"/>
    <w:rsid w:val="009634D4"/>
    <w:rsid w:val="00966B42"/>
    <w:rsid w:val="00971351"/>
    <w:rsid w:val="0097332E"/>
    <w:rsid w:val="00974FD7"/>
    <w:rsid w:val="009775AE"/>
    <w:rsid w:val="00980444"/>
    <w:rsid w:val="00982E93"/>
    <w:rsid w:val="00993266"/>
    <w:rsid w:val="009A6D17"/>
    <w:rsid w:val="009B0FA5"/>
    <w:rsid w:val="009B6EA6"/>
    <w:rsid w:val="009D0B32"/>
    <w:rsid w:val="009D335B"/>
    <w:rsid w:val="009D75E7"/>
    <w:rsid w:val="009F231A"/>
    <w:rsid w:val="009F3BDA"/>
    <w:rsid w:val="009F42DA"/>
    <w:rsid w:val="009F5E10"/>
    <w:rsid w:val="00A03978"/>
    <w:rsid w:val="00A050C0"/>
    <w:rsid w:val="00A062DB"/>
    <w:rsid w:val="00A07F7B"/>
    <w:rsid w:val="00A13410"/>
    <w:rsid w:val="00A14F94"/>
    <w:rsid w:val="00A23CED"/>
    <w:rsid w:val="00A25E64"/>
    <w:rsid w:val="00A26387"/>
    <w:rsid w:val="00A3022E"/>
    <w:rsid w:val="00A32D49"/>
    <w:rsid w:val="00A377BB"/>
    <w:rsid w:val="00A44D96"/>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F7A"/>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37781"/>
    <w:rsid w:val="00B408FD"/>
    <w:rsid w:val="00B4797F"/>
    <w:rsid w:val="00B516BA"/>
    <w:rsid w:val="00B520A2"/>
    <w:rsid w:val="00B60515"/>
    <w:rsid w:val="00B62CAB"/>
    <w:rsid w:val="00B678FA"/>
    <w:rsid w:val="00B72ED3"/>
    <w:rsid w:val="00B73571"/>
    <w:rsid w:val="00B83DA1"/>
    <w:rsid w:val="00B84529"/>
    <w:rsid w:val="00B846E9"/>
    <w:rsid w:val="00B92CEA"/>
    <w:rsid w:val="00BB1593"/>
    <w:rsid w:val="00BB43F6"/>
    <w:rsid w:val="00BB6EF3"/>
    <w:rsid w:val="00BC5FF9"/>
    <w:rsid w:val="00BC6307"/>
    <w:rsid w:val="00BE36EB"/>
    <w:rsid w:val="00BE41F8"/>
    <w:rsid w:val="00BE762C"/>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5F46"/>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4A4"/>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37B9"/>
    <w:rsid w:val="00E60357"/>
    <w:rsid w:val="00E61B4C"/>
    <w:rsid w:val="00E6262C"/>
    <w:rsid w:val="00E71D4E"/>
    <w:rsid w:val="00E757F4"/>
    <w:rsid w:val="00E9303D"/>
    <w:rsid w:val="00EA2A3A"/>
    <w:rsid w:val="00EA77B0"/>
    <w:rsid w:val="00EB18D7"/>
    <w:rsid w:val="00EB223A"/>
    <w:rsid w:val="00EC47CE"/>
    <w:rsid w:val="00EC4D8C"/>
    <w:rsid w:val="00ED4871"/>
    <w:rsid w:val="00EE663F"/>
    <w:rsid w:val="00EF0391"/>
    <w:rsid w:val="00EF09F9"/>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73CE"/>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A8A51B95-D58E-4116-B865-2939D09C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E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A10B7"/>
    <w:rPr>
      <w:rFonts w:ascii="Tahoma" w:hAnsi="Tahoma" w:cs="Tahoma"/>
      <w:sz w:val="16"/>
      <w:szCs w:val="16"/>
    </w:rPr>
  </w:style>
  <w:style w:type="character" w:customStyle="1" w:styleId="BalloonTextChar">
    <w:name w:val="Balloon Text Char"/>
    <w:basedOn w:val="DefaultParagraphFont"/>
    <w:link w:val="BalloonText"/>
    <w:uiPriority w:val="99"/>
    <w:semiHidden/>
    <w:rsid w:val="002A10B7"/>
    <w:rPr>
      <w:rFonts w:ascii="Tahoma" w:hAnsi="Tahoma" w:cs="Tahoma"/>
      <w:sz w:val="16"/>
      <w:szCs w:val="16"/>
    </w:rPr>
  </w:style>
  <w:style w:type="table" w:styleId="TableGrid">
    <w:name w:val="Table Grid"/>
    <w:basedOn w:val="TableNormal"/>
    <w:uiPriority w:val="59"/>
    <w:rsid w:val="001A13A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525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43B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23-11.docx" TargetMode="External"/><Relationship Id="rId13" Type="http://schemas.openxmlformats.org/officeDocument/2006/relationships/hyperlink" Target="file:///h:\hj%20archive\2011\04-06-11.docx" TargetMode="External"/><Relationship Id="rId18" Type="http://schemas.openxmlformats.org/officeDocument/2006/relationships/hyperlink" Target="file:///h:\sj%20archive\2011\04-14-1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archive\2012\01-11-12.docx" TargetMode="External"/><Relationship Id="rId7" Type="http://schemas.openxmlformats.org/officeDocument/2006/relationships/hyperlink" Target="file:///h:\hj%20archive\2011\02-23-11.docx" TargetMode="External"/><Relationship Id="rId12" Type="http://schemas.openxmlformats.org/officeDocument/2006/relationships/hyperlink" Target="file:///h:\hj%20archive\2011\04-05-11.docx" TargetMode="External"/><Relationship Id="rId17" Type="http://schemas.openxmlformats.org/officeDocument/2006/relationships/hyperlink" Target="file:///h:\hj%20archive\2011\04-14-11.docx" TargetMode="External"/><Relationship Id="rId25" Type="http://schemas.openxmlformats.org/officeDocument/2006/relationships/hyperlink" Target="file:///p:\pprever\2011-12\3731_20110526.docx" TargetMode="External"/><Relationship Id="rId2" Type="http://schemas.openxmlformats.org/officeDocument/2006/relationships/styles" Target="styles.xml"/><Relationship Id="rId16" Type="http://schemas.openxmlformats.org/officeDocument/2006/relationships/hyperlink" Target="file:///h:\hj%20archive\2011\04-13-11.docx" TargetMode="External"/><Relationship Id="rId20" Type="http://schemas.openxmlformats.org/officeDocument/2006/relationships/hyperlink" Target="file:///h:\sj%20archive\2011\05-25-11.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30-11.docx" TargetMode="External"/><Relationship Id="rId24" Type="http://schemas.openxmlformats.org/officeDocument/2006/relationships/hyperlink" Target="file:///p:\pprever\2011-12\3731_20110525.docx" TargetMode="External"/><Relationship Id="rId5" Type="http://schemas.openxmlformats.org/officeDocument/2006/relationships/footnotes" Target="footnotes.xml"/><Relationship Id="rId15" Type="http://schemas.openxmlformats.org/officeDocument/2006/relationships/hyperlink" Target="file:///h:\hj%20archive\2011\04-13-11.docx" TargetMode="External"/><Relationship Id="rId23" Type="http://schemas.openxmlformats.org/officeDocument/2006/relationships/hyperlink" Target="file:///p:\pprever\2011-12\3731_20110330.docx" TargetMode="External"/><Relationship Id="rId28" Type="http://schemas.openxmlformats.org/officeDocument/2006/relationships/fontTable" Target="fontTable.xml"/><Relationship Id="rId10" Type="http://schemas.openxmlformats.org/officeDocument/2006/relationships/hyperlink" Target="file:///h:\hj%20archive\2011\03-02-11.docx" TargetMode="External"/><Relationship Id="rId19" Type="http://schemas.openxmlformats.org/officeDocument/2006/relationships/hyperlink" Target="file:///h:\sj%20archive\2011\04-14-11.docx" TargetMode="External"/><Relationship Id="rId4" Type="http://schemas.openxmlformats.org/officeDocument/2006/relationships/webSettings" Target="webSettings.xml"/><Relationship Id="rId9" Type="http://schemas.openxmlformats.org/officeDocument/2006/relationships/hyperlink" Target="file:///h:\hj%20archive\2011\03-02-11.docx" TargetMode="External"/><Relationship Id="rId14" Type="http://schemas.openxmlformats.org/officeDocument/2006/relationships/hyperlink" Target="file:///h:\hj%20archive\2011\04-13-11.docx" TargetMode="External"/><Relationship Id="rId22" Type="http://schemas.openxmlformats.org/officeDocument/2006/relationships/hyperlink" Target="file:///p:\pprever\2011-12\3731_2011022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7583-88BC-4975-BF93-88820112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1385</Words>
  <Characters>7548</Characters>
  <Application>Microsoft Office Word</Application>
  <DocSecurity>0</DocSecurity>
  <Lines>196</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3731: Housemoving license - South Carolina Legislature Online</dc:title>
  <dc:subject/>
  <dc:creator>SandyBarden</dc:creator>
  <cp:keywords/>
  <dc:description/>
  <cp:lastModifiedBy>N Cumfer</cp:lastModifiedBy>
  <cp:revision>2</cp:revision>
  <cp:lastPrinted>2012-01-17T14:53:00Z</cp:lastPrinted>
  <dcterms:created xsi:type="dcterms:W3CDTF">2014-11-21T21:47:00Z</dcterms:created>
  <dcterms:modified xsi:type="dcterms:W3CDTF">2014-11-21T21:47:00Z</dcterms:modified>
</cp:coreProperties>
</file>