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0B4" w:rsidRDefault="004B10B4" w:rsidP="004B10B4">
      <w:pPr>
        <w:widowControl w:val="0"/>
        <w:jc w:val="center"/>
      </w:pPr>
      <w:bookmarkStart w:id="0" w:name="_GoBack"/>
      <w:bookmarkEnd w:id="0"/>
      <w:r w:rsidRPr="004B10B4">
        <w:rPr>
          <w:b/>
        </w:rPr>
        <w:t>South Carolina General Assembly</w:t>
      </w:r>
    </w:p>
    <w:p w:rsidR="004B10B4" w:rsidRDefault="004B10B4" w:rsidP="004B10B4">
      <w:pPr>
        <w:widowControl w:val="0"/>
        <w:jc w:val="center"/>
      </w:pPr>
      <w:r>
        <w:t>119th Session, 2011-2012</w:t>
      </w:r>
    </w:p>
    <w:p w:rsidR="004B10B4" w:rsidRDefault="004B10B4" w:rsidP="004B10B4">
      <w:pPr>
        <w:widowControl w:val="0"/>
        <w:jc w:val="left"/>
      </w:pPr>
    </w:p>
    <w:p w:rsidR="004B10B4" w:rsidRDefault="004B10B4" w:rsidP="004B10B4">
      <w:pPr>
        <w:widowControl w:val="0"/>
        <w:jc w:val="left"/>
        <w:rPr>
          <w:b/>
        </w:rPr>
      </w:pPr>
      <w:r w:rsidRPr="004B10B4">
        <w:rPr>
          <w:b/>
        </w:rPr>
        <w:t>H. 3932</w:t>
      </w:r>
    </w:p>
    <w:p w:rsidR="004B10B4" w:rsidRDefault="004B10B4" w:rsidP="004B10B4">
      <w:pPr>
        <w:widowControl w:val="0"/>
        <w:jc w:val="left"/>
        <w:rPr>
          <w:b/>
        </w:rPr>
      </w:pPr>
    </w:p>
    <w:p w:rsidR="004B10B4" w:rsidRDefault="004B10B4" w:rsidP="004B10B4">
      <w:pPr>
        <w:widowControl w:val="0"/>
        <w:jc w:val="left"/>
      </w:pPr>
      <w:r w:rsidRPr="004B10B4">
        <w:rPr>
          <w:b/>
        </w:rPr>
        <w:t>STATUS INFORMATION</w:t>
      </w:r>
    </w:p>
    <w:p w:rsidR="004B10B4" w:rsidRDefault="004B10B4" w:rsidP="004B10B4">
      <w:pPr>
        <w:widowControl w:val="0"/>
        <w:jc w:val="left"/>
      </w:pPr>
    </w:p>
    <w:p w:rsidR="004B10B4" w:rsidRDefault="004B10B4" w:rsidP="004B10B4">
      <w:pPr>
        <w:widowControl w:val="0"/>
        <w:jc w:val="left"/>
      </w:pPr>
      <w:r>
        <w:t>General Bill</w:t>
      </w:r>
    </w:p>
    <w:p w:rsidR="004B10B4" w:rsidRDefault="004B10B4" w:rsidP="004B10B4">
      <w:pPr>
        <w:widowControl w:val="0"/>
        <w:jc w:val="left"/>
      </w:pPr>
      <w:r>
        <w:t>Sponsors: Reps. Pitts, Quinn, Merrill, Loftis, Corbin, Brannon, Clemmons, Hixon, Hosey, Lowe, G.M. Smith and J.R. Smith</w:t>
      </w:r>
    </w:p>
    <w:p w:rsidR="004B10B4" w:rsidRDefault="004B10B4" w:rsidP="004B10B4">
      <w:pPr>
        <w:widowControl w:val="0"/>
        <w:jc w:val="left"/>
      </w:pPr>
      <w:r>
        <w:t>Document Path: l:\council\bills\swb\5151cm11.docx</w:t>
      </w:r>
    </w:p>
    <w:p w:rsidR="004B10B4" w:rsidRDefault="004B10B4" w:rsidP="004B10B4">
      <w:pPr>
        <w:widowControl w:val="0"/>
        <w:jc w:val="left"/>
      </w:pPr>
    </w:p>
    <w:p w:rsidR="004B10B4" w:rsidRDefault="004B10B4" w:rsidP="004B10B4">
      <w:pPr>
        <w:widowControl w:val="0"/>
        <w:jc w:val="left"/>
      </w:pPr>
      <w:r>
        <w:t>Introduced in the House on March 15, 2011</w:t>
      </w:r>
    </w:p>
    <w:p w:rsidR="004B10B4" w:rsidRDefault="004B10B4" w:rsidP="004B10B4">
      <w:pPr>
        <w:widowControl w:val="0"/>
        <w:jc w:val="left"/>
      </w:pPr>
      <w:r>
        <w:t xml:space="preserve">Currently residing in the House Committee on </w:t>
      </w:r>
      <w:r w:rsidRPr="004B10B4">
        <w:rPr>
          <w:b/>
        </w:rPr>
        <w:t>Judiciary</w:t>
      </w:r>
    </w:p>
    <w:p w:rsidR="004B10B4" w:rsidRDefault="004B10B4" w:rsidP="004B10B4">
      <w:pPr>
        <w:widowControl w:val="0"/>
        <w:jc w:val="left"/>
      </w:pPr>
    </w:p>
    <w:p w:rsidR="004B10B4" w:rsidRDefault="004B10B4" w:rsidP="004B10B4">
      <w:pPr>
        <w:widowControl w:val="0"/>
        <w:jc w:val="left"/>
      </w:pPr>
      <w:r>
        <w:t xml:space="preserve">Summary: </w:t>
      </w:r>
      <w:r w:rsidR="00B70D07">
        <w:t>Prosecution Coordination Commission</w:t>
      </w:r>
    </w:p>
    <w:p w:rsidR="004B10B4" w:rsidRDefault="004B10B4" w:rsidP="004B10B4">
      <w:pPr>
        <w:widowControl w:val="0"/>
        <w:jc w:val="left"/>
      </w:pPr>
    </w:p>
    <w:p w:rsidR="004B10B4" w:rsidRDefault="004B10B4" w:rsidP="004B10B4">
      <w:pPr>
        <w:widowControl w:val="0"/>
        <w:jc w:val="left"/>
      </w:pPr>
    </w:p>
    <w:p w:rsidR="004B10B4" w:rsidRDefault="004B10B4" w:rsidP="004B10B4">
      <w:pPr>
        <w:widowControl w:val="0"/>
        <w:tabs>
          <w:tab w:val="center" w:pos="590"/>
          <w:tab w:val="center" w:pos="1440"/>
          <w:tab w:val="left" w:pos="1872"/>
          <w:tab w:val="left" w:pos="9187"/>
        </w:tabs>
        <w:jc w:val="left"/>
      </w:pPr>
      <w:r w:rsidRPr="004B10B4">
        <w:rPr>
          <w:b/>
        </w:rPr>
        <w:t>HISTORY OF LEGISLATIVE ACTIONS</w:t>
      </w:r>
    </w:p>
    <w:p w:rsidR="004B10B4" w:rsidRDefault="004B10B4" w:rsidP="004B10B4">
      <w:pPr>
        <w:widowControl w:val="0"/>
        <w:tabs>
          <w:tab w:val="center" w:pos="590"/>
          <w:tab w:val="center" w:pos="1440"/>
          <w:tab w:val="left" w:pos="1872"/>
          <w:tab w:val="left" w:pos="9187"/>
        </w:tabs>
        <w:jc w:val="left"/>
      </w:pPr>
    </w:p>
    <w:p w:rsidR="004B10B4" w:rsidRPr="004B10B4" w:rsidRDefault="004B10B4" w:rsidP="004B10B4">
      <w:pPr>
        <w:widowControl w:val="0"/>
        <w:tabs>
          <w:tab w:val="center" w:pos="590"/>
          <w:tab w:val="center" w:pos="1440"/>
          <w:tab w:val="left" w:pos="1872"/>
          <w:tab w:val="left" w:pos="9187"/>
        </w:tabs>
        <w:jc w:val="left"/>
      </w:pPr>
      <w:r w:rsidRPr="004B10B4">
        <w:rPr>
          <w:u w:val="single"/>
        </w:rPr>
        <w:tab/>
        <w:t>Date</w:t>
      </w:r>
      <w:r w:rsidRPr="004B10B4">
        <w:rPr>
          <w:u w:val="single"/>
        </w:rPr>
        <w:tab/>
        <w:t>Body</w:t>
      </w:r>
      <w:r w:rsidRPr="004B10B4">
        <w:rPr>
          <w:u w:val="single"/>
        </w:rPr>
        <w:tab/>
        <w:t>Action Description with journal page number</w:t>
      </w:r>
      <w:r w:rsidRPr="004B10B4">
        <w:rPr>
          <w:u w:val="single"/>
        </w:rPr>
        <w:tab/>
      </w:r>
    </w:p>
    <w:p w:rsidR="00B24DBA" w:rsidRDefault="00B24DBA" w:rsidP="00B24DBA">
      <w:pPr>
        <w:widowControl w:val="0"/>
        <w:tabs>
          <w:tab w:val="right" w:pos="1008"/>
          <w:tab w:val="left" w:pos="1152"/>
          <w:tab w:val="left" w:pos="1872"/>
          <w:tab w:val="left" w:pos="9187"/>
        </w:tabs>
        <w:ind w:left="2088" w:hanging="2088"/>
        <w:jc w:val="left"/>
      </w:pPr>
      <w:r>
        <w:tab/>
        <w:t>3/15/2011</w:t>
      </w:r>
      <w:r>
        <w:tab/>
        <w:t>House</w:t>
      </w:r>
      <w:r>
        <w:tab/>
      </w:r>
      <w:r w:rsidRPr="0071576A">
        <w:t>Introduced and read first time (</w:t>
      </w:r>
      <w:hyperlink r:id="rId7" w:history="1">
        <w:r w:rsidRPr="0071576A">
          <w:rPr>
            <w:rStyle w:val="Hyperlink"/>
          </w:rPr>
          <w:t>House Journal</w:t>
        </w:r>
        <w:r w:rsidRPr="0071576A">
          <w:rPr>
            <w:rStyle w:val="Hyperlink"/>
          </w:rPr>
          <w:noBreakHyphen/>
          <w:t>page 8</w:t>
        </w:r>
      </w:hyperlink>
      <w:r w:rsidRPr="0071576A">
        <w:t>)</w:t>
      </w:r>
    </w:p>
    <w:p w:rsidR="00B24DBA" w:rsidRDefault="00B24DBA" w:rsidP="00B24DBA">
      <w:pPr>
        <w:widowControl w:val="0"/>
        <w:tabs>
          <w:tab w:val="right" w:pos="1008"/>
          <w:tab w:val="left" w:pos="1152"/>
          <w:tab w:val="left" w:pos="1872"/>
          <w:tab w:val="left" w:pos="9187"/>
        </w:tabs>
        <w:ind w:left="2088" w:hanging="2088"/>
        <w:jc w:val="left"/>
      </w:pPr>
      <w:r>
        <w:tab/>
        <w:t>3/15/2011</w:t>
      </w:r>
      <w:r>
        <w:tab/>
        <w:t>House</w:t>
      </w:r>
      <w:r>
        <w:tab/>
      </w:r>
      <w:r w:rsidRPr="0071576A">
        <w:t>Ref</w:t>
      </w:r>
      <w:r>
        <w:t xml:space="preserve">erred to Committee on </w:t>
      </w:r>
      <w:r w:rsidRPr="0071576A">
        <w:rPr>
          <w:b/>
        </w:rPr>
        <w:t>Judiciary</w:t>
      </w:r>
      <w:r>
        <w:t xml:space="preserve"> </w:t>
      </w:r>
      <w:r w:rsidRPr="0071576A">
        <w:t>(</w:t>
      </w:r>
      <w:hyperlink r:id="rId8" w:history="1">
        <w:r w:rsidRPr="0071576A">
          <w:rPr>
            <w:rStyle w:val="Hyperlink"/>
          </w:rPr>
          <w:t>House Journal</w:t>
        </w:r>
        <w:r w:rsidRPr="0071576A">
          <w:rPr>
            <w:rStyle w:val="Hyperlink"/>
          </w:rPr>
          <w:noBreakHyphen/>
          <w:t>page 8</w:t>
        </w:r>
      </w:hyperlink>
      <w:r w:rsidRPr="0071576A">
        <w:t>)</w:t>
      </w:r>
    </w:p>
    <w:p w:rsidR="00B24DBA" w:rsidRDefault="00B24DBA" w:rsidP="00B24DBA">
      <w:pPr>
        <w:widowControl w:val="0"/>
        <w:tabs>
          <w:tab w:val="right" w:pos="1008"/>
          <w:tab w:val="left" w:pos="1152"/>
          <w:tab w:val="left" w:pos="1872"/>
          <w:tab w:val="left" w:pos="9187"/>
        </w:tabs>
        <w:ind w:left="2088" w:hanging="2088"/>
        <w:jc w:val="left"/>
      </w:pPr>
    </w:p>
    <w:p w:rsidR="004B10B4" w:rsidRPr="004B10B4" w:rsidRDefault="004B10B4" w:rsidP="004B10B4">
      <w:pPr>
        <w:widowControl w:val="0"/>
        <w:tabs>
          <w:tab w:val="right" w:pos="1008"/>
          <w:tab w:val="left" w:pos="1152"/>
          <w:tab w:val="left" w:pos="1872"/>
          <w:tab w:val="left" w:pos="9187"/>
        </w:tabs>
        <w:ind w:left="2088" w:hanging="2088"/>
        <w:jc w:val="left"/>
      </w:pPr>
    </w:p>
    <w:p w:rsidR="004B10B4" w:rsidRDefault="004B10B4" w:rsidP="004B10B4">
      <w:pPr>
        <w:widowControl w:val="0"/>
        <w:jc w:val="left"/>
      </w:pPr>
      <w:r w:rsidRPr="004B10B4">
        <w:rPr>
          <w:b/>
        </w:rPr>
        <w:t>VERSIONS OF THIS BILL</w:t>
      </w:r>
    </w:p>
    <w:p w:rsidR="004B10B4" w:rsidRDefault="004B10B4" w:rsidP="004B10B4">
      <w:pPr>
        <w:widowControl w:val="0"/>
        <w:jc w:val="left"/>
      </w:pPr>
    </w:p>
    <w:p w:rsidR="004B10B4" w:rsidRDefault="006777B7" w:rsidP="004B10B4">
      <w:pPr>
        <w:widowControl w:val="0"/>
        <w:jc w:val="left"/>
      </w:pPr>
      <w:hyperlink r:id="rId9" w:history="1">
        <w:r w:rsidR="004B10B4">
          <w:rPr>
            <w:rStyle w:val="Hyperlink"/>
          </w:rPr>
          <w:t>3/15/2011</w:t>
        </w:r>
      </w:hyperlink>
    </w:p>
    <w:p w:rsidR="004B10B4" w:rsidRDefault="004B10B4" w:rsidP="004B10B4"/>
    <w:p w:rsidR="004B10B4" w:rsidRDefault="004B10B4" w:rsidP="004B10B4">
      <w:pPr>
        <w:sectPr w:rsidR="004B10B4" w:rsidSect="004B10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D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0D0D63">
        <w:noBreakHyphen/>
      </w:r>
      <w:r>
        <w:t>7</w:t>
      </w:r>
      <w:r w:rsidR="000D0D63">
        <w:noBreakHyphen/>
      </w:r>
      <w:r>
        <w:t xml:space="preserve">960, CODE OF LAWS OF SOUTH CAROLINA, 1976, RELATING TO THE RESPONSIBILITIES OF THE EXECUTIVE DIRECTOR AND STAFF OF THE COMMISSION ON PROSECUTION COORDINATION, SO AS TO PROVIDE THAT STAFFING FOR THE CENTRAL OFFICE OF THE COMMISSION IS LIMITED TO THREE POSITIONS, TO PROVIDE FOR THE TRANSFER OF THE REMAINING POSITIONS TO THE OFFICE OF </w:t>
      </w:r>
      <w:r w:rsidR="003942BD">
        <w:t xml:space="preserve">THE </w:t>
      </w:r>
      <w:r>
        <w:t>ATTORNEY GENERA</w:t>
      </w:r>
      <w:r w:rsidR="003942BD">
        <w:t>L</w:t>
      </w:r>
      <w:r>
        <w:t>, AND TO PROVIDE THAT THE BUDGET FOR THE COMMISSION MUST BE SUBDIVIDED INTO THREE PROGRAMS.</w:t>
      </w:r>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31F3">
        <w:t>Section 1</w:t>
      </w:r>
      <w:r w:rsidR="000D0D63">
        <w:noBreakHyphen/>
      </w:r>
      <w:r w:rsidR="00BB31F3">
        <w:t>7</w:t>
      </w:r>
      <w:r w:rsidR="000D0D63">
        <w:noBreakHyphen/>
      </w:r>
      <w:r w:rsidR="00BB31F3">
        <w:t>960 of the 1976 Code is amended to read:</w:t>
      </w:r>
    </w:p>
    <w:p w:rsid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0D0D63">
        <w:noBreakHyphen/>
      </w:r>
      <w:r>
        <w:t>7</w:t>
      </w:r>
      <w:r w:rsidR="000D0D63">
        <w:noBreakHyphen/>
      </w:r>
      <w:r>
        <w:t>960.</w:t>
      </w:r>
      <w:r>
        <w:tab/>
      </w:r>
      <w:r w:rsidRPr="00BB31F3">
        <w:rPr>
          <w:u w:val="single"/>
        </w:rPr>
        <w:t>(A)</w:t>
      </w:r>
      <w:r>
        <w:tab/>
      </w:r>
      <w:r w:rsidRPr="009456C1">
        <w:t>The commission has the authority to appoint an executive director who shall serve at the pleasure of the commission.  He is responsible for the day</w:t>
      </w:r>
      <w:r w:rsidR="000D0D63">
        <w:noBreakHyphen/>
      </w:r>
      <w:r w:rsidRPr="009456C1">
        <w:t>to</w:t>
      </w:r>
      <w:r w:rsidR="000D0D63">
        <w:noBreakHyphen/>
      </w:r>
      <w:r w:rsidRPr="009456C1">
        <w:t xml:space="preserve">day operation of the commission and the coordination of the work with other state agencies.  The commission has the authority to hire additional staff as provided for in the annual appropriations act in order to perform the duties of the commission. </w:t>
      </w:r>
    </w:p>
    <w:p w:rsidR="001A4D0D" w:rsidRP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B31F3">
        <w:rPr>
          <w:u w:val="single"/>
        </w:rPr>
        <w:t>(B)</w:t>
      </w:r>
      <w:r w:rsidR="000D0D63" w:rsidRPr="000D0D63">
        <w:tab/>
      </w:r>
      <w:r>
        <w:rPr>
          <w:u w:val="single"/>
        </w:rPr>
        <w:t xml:space="preserve">Staffing for the central office of the commission is limited to three positions which are an executive director, an administrative assistant, and </w:t>
      </w:r>
      <w:r w:rsidR="000D0D63">
        <w:rPr>
          <w:u w:val="single"/>
        </w:rPr>
        <w:t xml:space="preserve">an </w:t>
      </w:r>
      <w:r>
        <w:rPr>
          <w:u w:val="single"/>
        </w:rPr>
        <w:t>education coo</w:t>
      </w:r>
      <w:r w:rsidR="000D0D63">
        <w:rPr>
          <w:u w:val="single"/>
        </w:rPr>
        <w:t xml:space="preserve">rdinator.  Within three months </w:t>
      </w:r>
      <w:r>
        <w:rPr>
          <w:u w:val="single"/>
        </w:rPr>
        <w:t>o</w:t>
      </w:r>
      <w:r w:rsidR="000D0D63">
        <w:rPr>
          <w:u w:val="single"/>
        </w:rPr>
        <w:t>f</w:t>
      </w:r>
      <w:r>
        <w:rPr>
          <w:u w:val="single"/>
        </w:rPr>
        <w:t xml:space="preserve"> </w:t>
      </w:r>
      <w:r w:rsidR="003942BD">
        <w:rPr>
          <w:u w:val="single"/>
        </w:rPr>
        <w:t>the effective date of this subsection</w:t>
      </w:r>
      <w:r>
        <w:rPr>
          <w:u w:val="single"/>
        </w:rPr>
        <w:t xml:space="preserve">, positions in excess of these </w:t>
      </w:r>
      <w:r>
        <w:rPr>
          <w:u w:val="single"/>
        </w:rPr>
        <w:lastRenderedPageBreak/>
        <w:t xml:space="preserve">three positions in the central office must be transferred to the Office of </w:t>
      </w:r>
      <w:r w:rsidR="003942BD">
        <w:rPr>
          <w:u w:val="single"/>
        </w:rPr>
        <w:t xml:space="preserve">the </w:t>
      </w:r>
      <w:r>
        <w:rPr>
          <w:u w:val="single"/>
        </w:rPr>
        <w:t xml:space="preserve">Attorney General.  This transfer must include positions funded with general funds, federal </w:t>
      </w:r>
      <w:r w:rsidR="000D0D63">
        <w:rPr>
          <w:u w:val="single"/>
        </w:rPr>
        <w:t>funds</w:t>
      </w:r>
      <w:r>
        <w:rPr>
          <w:u w:val="single"/>
        </w:rPr>
        <w:t xml:space="preserve">, and other funds. </w:t>
      </w:r>
      <w:r w:rsidR="003942BD">
        <w:rPr>
          <w:u w:val="single"/>
        </w:rPr>
        <w:t xml:space="preserve"> The Office of State Budget must assist the commission and the Office of Attorney General in the orderly transfer </w:t>
      </w:r>
      <w:r>
        <w:rPr>
          <w:u w:val="single"/>
        </w:rPr>
        <w:t xml:space="preserve">of these positions, salaries, </w:t>
      </w:r>
      <w:r w:rsidR="000D0D63">
        <w:rPr>
          <w:u w:val="single"/>
        </w:rPr>
        <w:t>fringe</w:t>
      </w:r>
      <w:r w:rsidR="003942BD">
        <w:rPr>
          <w:u w:val="single"/>
        </w:rPr>
        <w:t xml:space="preserve"> </w:t>
      </w:r>
      <w:r w:rsidR="007535A7">
        <w:rPr>
          <w:u w:val="single"/>
        </w:rPr>
        <w:t>benefits</w:t>
      </w:r>
      <w:r w:rsidR="000D0D63">
        <w:rPr>
          <w:u w:val="single"/>
        </w:rPr>
        <w:t>,</w:t>
      </w:r>
      <w:r>
        <w:rPr>
          <w:u w:val="single"/>
        </w:rPr>
        <w:t xml:space="preserve"> and associated operating costs and equipment. </w:t>
      </w:r>
      <w:r w:rsidR="002730F5">
        <w:rPr>
          <w:u w:val="single"/>
        </w:rPr>
        <w:t xml:space="preserve"> F</w:t>
      </w:r>
      <w:r>
        <w:rPr>
          <w:u w:val="single"/>
        </w:rPr>
        <w:t>or the ensuing fiscal year, the Office of State Budget is directed to provide for these changes in preparing the agencies</w:t>
      </w:r>
      <w:r w:rsidR="000D0D63" w:rsidRPr="000D0D63">
        <w:rPr>
          <w:u w:val="single"/>
        </w:rPr>
        <w:t>’</w:t>
      </w:r>
      <w:r>
        <w:rPr>
          <w:u w:val="single"/>
        </w:rPr>
        <w:t xml:space="preserve"> detailed base budgets.  Final decisions on the interpretation of this section resides with the Office of State Budget.  The commission may be provided with reasonable operating costs and equipment necessary for the duties and functions remaining with the central office.  Funds in excess of the amounts determined to be necessary by the Office of State Budget for the three positions, associated fringe</w:t>
      </w:r>
      <w:r w:rsidR="003942BD">
        <w:rPr>
          <w:u w:val="single"/>
        </w:rPr>
        <w:t xml:space="preserve"> benefits</w:t>
      </w:r>
      <w:r>
        <w:rPr>
          <w:u w:val="single"/>
        </w:rPr>
        <w:t xml:space="preserve">, and operating costs for the central office must be transferred to the Office of </w:t>
      </w:r>
      <w:r w:rsidR="003942BD">
        <w:rPr>
          <w:u w:val="single"/>
        </w:rPr>
        <w:t xml:space="preserve">the </w:t>
      </w:r>
      <w:r>
        <w:rPr>
          <w:u w:val="single"/>
        </w:rPr>
        <w:t>Attorney General.</w:t>
      </w:r>
    </w:p>
    <w:p w:rsidR="00BB31F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D0D63">
        <w:rPr>
          <w:u w:val="single"/>
        </w:rPr>
        <w:t>(C)</w:t>
      </w:r>
      <w:r w:rsidRPr="000D0D63">
        <w:tab/>
      </w:r>
      <w:r>
        <w:rPr>
          <w:u w:val="single"/>
        </w:rPr>
        <w:t xml:space="preserve">The budget for the commission as shown in the </w:t>
      </w:r>
      <w:r w:rsidR="003942BD">
        <w:rPr>
          <w:u w:val="single"/>
        </w:rPr>
        <w:t>g</w:t>
      </w:r>
      <w:r>
        <w:rPr>
          <w:u w:val="single"/>
        </w:rPr>
        <w:t xml:space="preserve">eneral </w:t>
      </w:r>
      <w:r w:rsidR="003942BD">
        <w:rPr>
          <w:u w:val="single"/>
        </w:rPr>
        <w:t>a</w:t>
      </w:r>
      <w:r>
        <w:rPr>
          <w:u w:val="single"/>
        </w:rPr>
        <w:t xml:space="preserve">ppropriations </w:t>
      </w:r>
      <w:r w:rsidR="003942BD">
        <w:rPr>
          <w:u w:val="single"/>
        </w:rPr>
        <w:t>b</w:t>
      </w:r>
      <w:r>
        <w:rPr>
          <w:u w:val="single"/>
        </w:rPr>
        <w:t>ill must be subdivided into three programs:</w:t>
      </w:r>
    </w:p>
    <w:p w:rsidR="000D0D6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D0D63">
        <w:tab/>
      </w:r>
      <w:r w:rsidRPr="000D0D63">
        <w:tab/>
      </w:r>
      <w:r>
        <w:rPr>
          <w:u w:val="single"/>
        </w:rPr>
        <w:t>(1)</w:t>
      </w:r>
      <w:r w:rsidRPr="000D0D63">
        <w:tab/>
      </w:r>
      <w:r>
        <w:rPr>
          <w:u w:val="single"/>
        </w:rPr>
        <w:t>administration which must include the salaries and operating costs for the three positions identified under subsection (B);</w:t>
      </w:r>
    </w:p>
    <w:p w:rsidR="000D0D6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D0D63">
        <w:tab/>
      </w:r>
      <w:r w:rsidRPr="000D0D63">
        <w:tab/>
      </w:r>
      <w:r>
        <w:rPr>
          <w:u w:val="single"/>
        </w:rPr>
        <w:t>(2)</w:t>
      </w:r>
      <w:r w:rsidRPr="000D0D63">
        <w:tab/>
      </w:r>
      <w:r>
        <w:rPr>
          <w:u w:val="single"/>
        </w:rPr>
        <w:t>offices of circuit solicitors; and</w:t>
      </w:r>
    </w:p>
    <w:p w:rsidR="000D0D63" w:rsidRPr="000D0D6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D0D63">
        <w:tab/>
      </w:r>
      <w:r w:rsidRPr="000D0D63">
        <w:tab/>
      </w:r>
      <w:r>
        <w:rPr>
          <w:u w:val="single"/>
        </w:rPr>
        <w:t>(3)</w:t>
      </w:r>
      <w:r w:rsidRPr="000D0D63">
        <w:tab/>
      </w:r>
      <w:r>
        <w:rPr>
          <w:u w:val="single"/>
        </w:rPr>
        <w:t xml:space="preserve">employee benefits for the salaries identified in items (1) and (2).  The commission shall continue to administer all </w:t>
      </w:r>
      <w:r w:rsidR="002730F5">
        <w:rPr>
          <w:u w:val="single"/>
        </w:rPr>
        <w:t>funds identified under item (2), o</w:t>
      </w:r>
      <w:r>
        <w:rPr>
          <w:u w:val="single"/>
        </w:rPr>
        <w:t xml:space="preserve">ffices of </w:t>
      </w:r>
      <w:r w:rsidR="002730F5">
        <w:rPr>
          <w:u w:val="single"/>
        </w:rPr>
        <w:t>c</w:t>
      </w:r>
      <w:r>
        <w:rPr>
          <w:u w:val="single"/>
        </w:rPr>
        <w:t xml:space="preserve">ircuit </w:t>
      </w:r>
      <w:r w:rsidR="002730F5">
        <w:rPr>
          <w:u w:val="single"/>
        </w:rPr>
        <w:t>s</w:t>
      </w:r>
      <w:r>
        <w:rPr>
          <w:u w:val="single"/>
        </w:rPr>
        <w:t>olicitors.</w:t>
      </w:r>
      <w:r w:rsidRPr="000D0D63">
        <w:t>”</w:t>
      </w:r>
    </w:p>
    <w:p w:rsid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31F3">
        <w:t>2</w:t>
      </w:r>
      <w:r>
        <w:t>.</w:t>
      </w:r>
      <w:r>
        <w:tab/>
        <w:t>This act takes effect upon approval by the Governor.</w:t>
      </w:r>
    </w:p>
    <w:p w:rsidR="00993FAD" w:rsidRDefault="000D0D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FAD" w:rsidRDefault="00993FAD" w:rsidP="004B10B4">
      <w:pPr>
        <w:suppressAutoHyphens/>
      </w:pPr>
    </w:p>
    <w:sectPr w:rsidR="00993FAD" w:rsidSect="004B10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2BD" w:rsidRDefault="003942BD" w:rsidP="009F0C77">
      <w:r>
        <w:separator/>
      </w:r>
    </w:p>
  </w:endnote>
  <w:endnote w:type="continuationSeparator" w:id="0">
    <w:p w:rsidR="003942BD" w:rsidRDefault="00394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8A38D2-9C58-422F-A723-BDD76067837C}"/>
    <w:embedBold r:id="rId2" w:fontKey="{10F29D9D-89EA-48D3-98E1-06ABCABF61A4}"/>
  </w:font>
  <w:font w:name="Calibri">
    <w:panose1 w:val="020F0502020204030204"/>
    <w:charset w:val="00"/>
    <w:family w:val="swiss"/>
    <w:pitch w:val="variable"/>
    <w:sig w:usb0="E10002FF" w:usb1="4000ACFF" w:usb2="00000009" w:usb3="00000000" w:csb0="0000019F" w:csb1="00000000"/>
    <w:embedRegular r:id="rId3" w:fontKey="{D25DE37F-1EBE-48D1-A2AC-B23633ECB5B6}"/>
  </w:font>
  <w:font w:name="Tahoma">
    <w:panose1 w:val="020B0604030504040204"/>
    <w:charset w:val="00"/>
    <w:family w:val="swiss"/>
    <w:pitch w:val="variable"/>
    <w:sig w:usb0="21002A87" w:usb1="80000000" w:usb2="00000008" w:usb3="00000000" w:csb0="000101FF" w:csb1="00000000"/>
    <w:embedRegular r:id="rId4" w:fontKey="{EB36FD2F-C34B-4983-AAB9-73BA3F1A81A8}"/>
  </w:font>
  <w:font w:name="Cambria">
    <w:panose1 w:val="02040503050406030204"/>
    <w:charset w:val="00"/>
    <w:family w:val="roman"/>
    <w:pitch w:val="variable"/>
    <w:sig w:usb0="E00002FF" w:usb1="400004FF" w:usb2="00000000" w:usb3="00000000" w:csb0="0000019F" w:csb1="00000000"/>
    <w:embedRegular r:id="rId5" w:fontKey="{D0E8560B-FA7C-4C06-BC00-5C279394A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0B4" w:rsidRPr="00993FAD" w:rsidRDefault="004B10B4" w:rsidP="00993FAD">
    <w:pPr>
      <w:pStyle w:val="Footer"/>
      <w:tabs>
        <w:tab w:val="clear" w:pos="4680"/>
        <w:tab w:val="clear" w:pos="9360"/>
        <w:tab w:val="center" w:pos="2995"/>
      </w:tabs>
      <w:spacing w:before="120"/>
    </w:pPr>
    <w:r>
      <w:t>[3932]</w:t>
    </w:r>
    <w:r>
      <w:tab/>
    </w:r>
    <w:r w:rsidR="006777B7">
      <w:fldChar w:fldCharType="begin"/>
    </w:r>
    <w:r w:rsidR="006777B7">
      <w:instrText xml:space="preserve"> PAGE  \* MERGEFORMAT </w:instrText>
    </w:r>
    <w:r w:rsidR="006777B7">
      <w:fldChar w:fldCharType="separate"/>
    </w:r>
    <w:r w:rsidR="006777B7">
      <w:rPr>
        <w:noProof/>
      </w:rPr>
      <w:t>1</w:t>
    </w:r>
    <w:r w:rsidR="006777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2BD" w:rsidRDefault="003942BD" w:rsidP="009F0C77">
      <w:r>
        <w:separator/>
      </w:r>
    </w:p>
  </w:footnote>
  <w:footnote w:type="continuationSeparator" w:id="0">
    <w:p w:rsidR="003942BD" w:rsidRDefault="00394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1CM11"/>
    <w:docVar w:name="CoverBillType" w:val="b"/>
    <w:docVar w:name="docpath" w:val="L:\Council\bills\SWB\5151CM11.DOCX"/>
    <w:docVar w:name="dvBillNumber" w:val="3932"/>
    <w:docVar w:name="dvBillNumberPrefix" w:val="H. "/>
    <w:docVar w:name="dvOriginalBody" w:val="House"/>
    <w:docVar w:name="dvSteno" w:val="SWB"/>
    <w:docVar w:name="NameofBody" w:val="h"/>
    <w:docVar w:name="vgroup2" w:val="Council"/>
  </w:docVars>
  <w:rsids>
    <w:rsidRoot w:val="009B50B2"/>
    <w:rsid w:val="00011869"/>
    <w:rsid w:val="00072EF5"/>
    <w:rsid w:val="000D0D63"/>
    <w:rsid w:val="000E1785"/>
    <w:rsid w:val="000F40FA"/>
    <w:rsid w:val="0010776B"/>
    <w:rsid w:val="00133E66"/>
    <w:rsid w:val="001435A3"/>
    <w:rsid w:val="00162DF5"/>
    <w:rsid w:val="00175D61"/>
    <w:rsid w:val="001A274B"/>
    <w:rsid w:val="001A4D0D"/>
    <w:rsid w:val="001D08F2"/>
    <w:rsid w:val="001D525B"/>
    <w:rsid w:val="001D7F4F"/>
    <w:rsid w:val="002321B6"/>
    <w:rsid w:val="00242AFE"/>
    <w:rsid w:val="00250967"/>
    <w:rsid w:val="002543C8"/>
    <w:rsid w:val="002730F5"/>
    <w:rsid w:val="00284AAE"/>
    <w:rsid w:val="002E5912"/>
    <w:rsid w:val="00325348"/>
    <w:rsid w:val="0032732C"/>
    <w:rsid w:val="00336AD0"/>
    <w:rsid w:val="0037079A"/>
    <w:rsid w:val="003942BD"/>
    <w:rsid w:val="003D01E8"/>
    <w:rsid w:val="003E5288"/>
    <w:rsid w:val="003F6D79"/>
    <w:rsid w:val="0041760A"/>
    <w:rsid w:val="00417C01"/>
    <w:rsid w:val="00464FD7"/>
    <w:rsid w:val="004809EE"/>
    <w:rsid w:val="004B10B4"/>
    <w:rsid w:val="004E7D54"/>
    <w:rsid w:val="005273C6"/>
    <w:rsid w:val="00530A69"/>
    <w:rsid w:val="00545593"/>
    <w:rsid w:val="00577C6C"/>
    <w:rsid w:val="005C2FE2"/>
    <w:rsid w:val="005E2BC9"/>
    <w:rsid w:val="00605102"/>
    <w:rsid w:val="006215AA"/>
    <w:rsid w:val="006777B7"/>
    <w:rsid w:val="006913C9"/>
    <w:rsid w:val="0069470D"/>
    <w:rsid w:val="00711BCA"/>
    <w:rsid w:val="00734F00"/>
    <w:rsid w:val="007535A7"/>
    <w:rsid w:val="00782150"/>
    <w:rsid w:val="007A70AE"/>
    <w:rsid w:val="007E021E"/>
    <w:rsid w:val="00803455"/>
    <w:rsid w:val="008362E8"/>
    <w:rsid w:val="00876FBD"/>
    <w:rsid w:val="008A1768"/>
    <w:rsid w:val="008B6A6C"/>
    <w:rsid w:val="008F4429"/>
    <w:rsid w:val="0092475D"/>
    <w:rsid w:val="0094021A"/>
    <w:rsid w:val="00993FAD"/>
    <w:rsid w:val="009B50B2"/>
    <w:rsid w:val="009C6A0B"/>
    <w:rsid w:val="009D28F1"/>
    <w:rsid w:val="009E1F15"/>
    <w:rsid w:val="009F0C77"/>
    <w:rsid w:val="009F4DD1"/>
    <w:rsid w:val="00A26CF4"/>
    <w:rsid w:val="00A41684"/>
    <w:rsid w:val="00A64E80"/>
    <w:rsid w:val="00A72BCD"/>
    <w:rsid w:val="00A741D9"/>
    <w:rsid w:val="00A833AB"/>
    <w:rsid w:val="00A9741D"/>
    <w:rsid w:val="00AD0D5C"/>
    <w:rsid w:val="00AD4B17"/>
    <w:rsid w:val="00AF0C2E"/>
    <w:rsid w:val="00B24DBA"/>
    <w:rsid w:val="00B412D4"/>
    <w:rsid w:val="00B70D07"/>
    <w:rsid w:val="00BB31F3"/>
    <w:rsid w:val="00BD244D"/>
    <w:rsid w:val="00BE3C22"/>
    <w:rsid w:val="00C0345E"/>
    <w:rsid w:val="00C3483A"/>
    <w:rsid w:val="00C72006"/>
    <w:rsid w:val="00C74E9D"/>
    <w:rsid w:val="00C82FD3"/>
    <w:rsid w:val="00C92819"/>
    <w:rsid w:val="00CA223D"/>
    <w:rsid w:val="00CC6B7B"/>
    <w:rsid w:val="00CD2089"/>
    <w:rsid w:val="00CE278A"/>
    <w:rsid w:val="00D73A67"/>
    <w:rsid w:val="00D970A9"/>
    <w:rsid w:val="00DF3845"/>
    <w:rsid w:val="00E41911"/>
    <w:rsid w:val="00E92EEF"/>
    <w:rsid w:val="00EA3AE8"/>
    <w:rsid w:val="00EB2CA4"/>
    <w:rsid w:val="00F24442"/>
    <w:rsid w:val="00F50AE3"/>
    <w:rsid w:val="00F67CF1"/>
    <w:rsid w:val="00F840F0"/>
    <w:rsid w:val="00FB0D0D"/>
    <w:rsid w:val="00FB43B4"/>
    <w:rsid w:val="00FF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0CCCB8-D7ED-4A36-A138-B60F60D0C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244D"/>
    <w:rPr>
      <w:rFonts w:ascii="Tahoma" w:hAnsi="Tahoma" w:cs="Tahoma"/>
      <w:sz w:val="16"/>
      <w:szCs w:val="16"/>
    </w:rPr>
  </w:style>
  <w:style w:type="character" w:customStyle="1" w:styleId="BalloonTextChar">
    <w:name w:val="Balloon Text Char"/>
    <w:basedOn w:val="DefaultParagraphFont"/>
    <w:link w:val="BalloonText"/>
    <w:uiPriority w:val="99"/>
    <w:semiHidden/>
    <w:rsid w:val="00BD244D"/>
    <w:rPr>
      <w:rFonts w:ascii="Tahoma" w:eastAsia="Times New Roman" w:hAnsi="Tahoma" w:cs="Tahoma"/>
      <w:sz w:val="16"/>
      <w:szCs w:val="16"/>
    </w:rPr>
  </w:style>
  <w:style w:type="character" w:styleId="Hyperlink">
    <w:name w:val="Hyperlink"/>
    <w:basedOn w:val="DefaultParagraphFont"/>
    <w:uiPriority w:val="99"/>
    <w:unhideWhenUsed/>
    <w:rsid w:val="004B1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5-11.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32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21CD3-F81C-4AFF-921C-AC52706D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548</Words>
  <Characters>2999</Characters>
  <Application>Microsoft Office Word</Application>
  <DocSecurity>4</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3932: Prosecution Coordination Commission - South Carolina Legislature Online</dc:title>
  <dc:subject/>
  <dc:creator>SandyBarden</dc:creator>
  <cp:keywords/>
  <dc:description/>
  <cp:lastModifiedBy>N Cumfer</cp:lastModifiedBy>
  <cp:revision>2</cp:revision>
  <cp:lastPrinted>2011-03-01T16:47:00Z</cp:lastPrinted>
  <dcterms:created xsi:type="dcterms:W3CDTF">2014-11-21T21:54:00Z</dcterms:created>
  <dcterms:modified xsi:type="dcterms:W3CDTF">2014-11-21T21:54:00Z</dcterms:modified>
</cp:coreProperties>
</file>