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6223" w:rsidRDefault="004E6223" w:rsidP="004E6223">
      <w:pPr>
        <w:widowControl w:val="0"/>
        <w:jc w:val="center"/>
      </w:pPr>
      <w:bookmarkStart w:id="0" w:name="_GoBack"/>
      <w:bookmarkEnd w:id="0"/>
      <w:r w:rsidRPr="004E6223">
        <w:rPr>
          <w:b/>
        </w:rPr>
        <w:t>South Carolina General Assembly</w:t>
      </w:r>
    </w:p>
    <w:p w:rsidR="004E6223" w:rsidRDefault="004E6223" w:rsidP="004E6223">
      <w:pPr>
        <w:widowControl w:val="0"/>
        <w:jc w:val="center"/>
      </w:pPr>
      <w:r>
        <w:t>119th Session, 2011-2012</w:t>
      </w:r>
    </w:p>
    <w:p w:rsidR="004E6223" w:rsidRDefault="004E6223" w:rsidP="004E6223">
      <w:pPr>
        <w:widowControl w:val="0"/>
        <w:jc w:val="left"/>
      </w:pPr>
    </w:p>
    <w:p w:rsidR="004E6223" w:rsidRDefault="004E6223" w:rsidP="004E6223">
      <w:pPr>
        <w:widowControl w:val="0"/>
        <w:jc w:val="left"/>
        <w:rPr>
          <w:b/>
        </w:rPr>
      </w:pPr>
      <w:r w:rsidRPr="004E6223">
        <w:rPr>
          <w:b/>
        </w:rPr>
        <w:t>H. 4272</w:t>
      </w:r>
    </w:p>
    <w:p w:rsidR="004E6223" w:rsidRDefault="004E6223" w:rsidP="004E6223">
      <w:pPr>
        <w:widowControl w:val="0"/>
        <w:jc w:val="left"/>
        <w:rPr>
          <w:b/>
        </w:rPr>
      </w:pPr>
    </w:p>
    <w:p w:rsidR="004E6223" w:rsidRDefault="004E6223" w:rsidP="004E6223">
      <w:pPr>
        <w:widowControl w:val="0"/>
        <w:jc w:val="left"/>
      </w:pPr>
      <w:r w:rsidRPr="004E6223">
        <w:rPr>
          <w:b/>
        </w:rPr>
        <w:t>STATUS INFORMATION</w:t>
      </w:r>
    </w:p>
    <w:p w:rsidR="004E6223" w:rsidRDefault="004E6223" w:rsidP="004E6223">
      <w:pPr>
        <w:widowControl w:val="0"/>
        <w:jc w:val="left"/>
      </w:pPr>
    </w:p>
    <w:p w:rsidR="004E6223" w:rsidRDefault="004E6223" w:rsidP="004E6223">
      <w:pPr>
        <w:widowControl w:val="0"/>
        <w:jc w:val="left"/>
      </w:pPr>
      <w:r>
        <w:t>General Bill</w:t>
      </w:r>
    </w:p>
    <w:p w:rsidR="004E6223" w:rsidRDefault="00F502F1" w:rsidP="004E6223">
      <w:pPr>
        <w:widowControl w:val="0"/>
        <w:jc w:val="left"/>
      </w:pPr>
      <w:r>
        <w:t>Sponsors: Reps. Crosby, Brantley, Anderson, Merrill, Battle, Branham, Clyburn, Daning, Hayes, Hosey and Jefferson</w:t>
      </w:r>
    </w:p>
    <w:p w:rsidR="004E6223" w:rsidRDefault="004E6223" w:rsidP="004E6223">
      <w:pPr>
        <w:widowControl w:val="0"/>
        <w:jc w:val="left"/>
      </w:pPr>
      <w:r>
        <w:t>Document Path: l:\council\bills\ms\7391ahb11.docx</w:t>
      </w:r>
    </w:p>
    <w:p w:rsidR="00B85AC9" w:rsidRDefault="00B85AC9" w:rsidP="004E6223">
      <w:pPr>
        <w:widowControl w:val="0"/>
        <w:jc w:val="left"/>
      </w:pPr>
      <w:r>
        <w:t>Companion/Similar bill(s): 744</w:t>
      </w:r>
    </w:p>
    <w:p w:rsidR="004E6223" w:rsidRDefault="004E6223" w:rsidP="004E6223">
      <w:pPr>
        <w:widowControl w:val="0"/>
        <w:jc w:val="left"/>
      </w:pPr>
    </w:p>
    <w:p w:rsidR="004E6223" w:rsidRDefault="004E6223" w:rsidP="004E6223">
      <w:pPr>
        <w:widowControl w:val="0"/>
        <w:jc w:val="left"/>
      </w:pPr>
      <w:r>
        <w:t>Introduced in the House on May 25, 2011</w:t>
      </w:r>
    </w:p>
    <w:p w:rsidR="004E6223" w:rsidRDefault="004E6223" w:rsidP="004E6223">
      <w:pPr>
        <w:widowControl w:val="0"/>
        <w:jc w:val="left"/>
      </w:pPr>
      <w:r>
        <w:t xml:space="preserve">Currently residing in the House Committee on </w:t>
      </w:r>
      <w:r w:rsidRPr="004E6223">
        <w:rPr>
          <w:b/>
        </w:rPr>
        <w:t>Judiciary</w:t>
      </w:r>
    </w:p>
    <w:p w:rsidR="004E6223" w:rsidRDefault="004E6223" w:rsidP="004E6223">
      <w:pPr>
        <w:widowControl w:val="0"/>
        <w:jc w:val="left"/>
      </w:pPr>
    </w:p>
    <w:p w:rsidR="004E6223" w:rsidRDefault="004E6223" w:rsidP="004E6223">
      <w:pPr>
        <w:widowControl w:val="0"/>
        <w:jc w:val="left"/>
      </w:pPr>
      <w:r>
        <w:t xml:space="preserve">Summary: </w:t>
      </w:r>
      <w:r w:rsidR="00611161">
        <w:t>Criminal domestic violence to include offense of Breathing</w:t>
      </w:r>
    </w:p>
    <w:p w:rsidR="004E6223" w:rsidRDefault="004E6223" w:rsidP="004E6223">
      <w:pPr>
        <w:widowControl w:val="0"/>
        <w:jc w:val="left"/>
      </w:pPr>
    </w:p>
    <w:p w:rsidR="004E6223" w:rsidRDefault="004E6223" w:rsidP="004E6223">
      <w:pPr>
        <w:widowControl w:val="0"/>
        <w:jc w:val="left"/>
      </w:pPr>
    </w:p>
    <w:p w:rsidR="004E6223" w:rsidRDefault="004E6223" w:rsidP="004E6223">
      <w:pPr>
        <w:widowControl w:val="0"/>
        <w:tabs>
          <w:tab w:val="center" w:pos="590"/>
          <w:tab w:val="center" w:pos="1440"/>
          <w:tab w:val="left" w:pos="1872"/>
          <w:tab w:val="left" w:pos="9187"/>
        </w:tabs>
        <w:jc w:val="left"/>
      </w:pPr>
      <w:r w:rsidRPr="004E6223">
        <w:rPr>
          <w:b/>
        </w:rPr>
        <w:t>HISTORY OF LEGISLATIVE ACTIONS</w:t>
      </w:r>
    </w:p>
    <w:p w:rsidR="004E6223" w:rsidRDefault="004E6223" w:rsidP="004E6223">
      <w:pPr>
        <w:widowControl w:val="0"/>
        <w:tabs>
          <w:tab w:val="center" w:pos="590"/>
          <w:tab w:val="center" w:pos="1440"/>
          <w:tab w:val="left" w:pos="1872"/>
          <w:tab w:val="left" w:pos="9187"/>
        </w:tabs>
        <w:jc w:val="left"/>
      </w:pPr>
    </w:p>
    <w:p w:rsidR="004E6223" w:rsidRPr="004E6223" w:rsidRDefault="004E6223" w:rsidP="004E6223">
      <w:pPr>
        <w:widowControl w:val="0"/>
        <w:tabs>
          <w:tab w:val="center" w:pos="590"/>
          <w:tab w:val="center" w:pos="1440"/>
          <w:tab w:val="left" w:pos="1872"/>
          <w:tab w:val="left" w:pos="9187"/>
        </w:tabs>
        <w:jc w:val="left"/>
      </w:pPr>
      <w:r w:rsidRPr="004E6223">
        <w:rPr>
          <w:u w:val="single"/>
        </w:rPr>
        <w:tab/>
        <w:t>Date</w:t>
      </w:r>
      <w:r w:rsidRPr="004E6223">
        <w:rPr>
          <w:u w:val="single"/>
        </w:rPr>
        <w:tab/>
        <w:t>Body</w:t>
      </w:r>
      <w:r w:rsidRPr="004E6223">
        <w:rPr>
          <w:u w:val="single"/>
        </w:rPr>
        <w:tab/>
        <w:t>Action Description with journal page number</w:t>
      </w:r>
      <w:r w:rsidRPr="004E6223">
        <w:rPr>
          <w:u w:val="single"/>
        </w:rPr>
        <w:tab/>
      </w:r>
    </w:p>
    <w:p w:rsidR="00B6658F" w:rsidRDefault="00B6658F" w:rsidP="00B6658F">
      <w:pPr>
        <w:widowControl w:val="0"/>
        <w:tabs>
          <w:tab w:val="right" w:pos="1008"/>
          <w:tab w:val="left" w:pos="1152"/>
          <w:tab w:val="left" w:pos="1872"/>
          <w:tab w:val="left" w:pos="9187"/>
        </w:tabs>
        <w:ind w:left="2088" w:hanging="2088"/>
        <w:jc w:val="left"/>
      </w:pPr>
      <w:r>
        <w:tab/>
        <w:t>5/25/2011</w:t>
      </w:r>
      <w:r>
        <w:tab/>
        <w:t>House</w:t>
      </w:r>
      <w:r>
        <w:tab/>
      </w:r>
      <w:r w:rsidRPr="00DE2115">
        <w:t>Introduced and read first time (</w:t>
      </w:r>
      <w:hyperlink r:id="rId7" w:history="1">
        <w:r w:rsidRPr="00DE2115">
          <w:rPr>
            <w:rStyle w:val="Hyperlink"/>
          </w:rPr>
          <w:t>House Journal</w:t>
        </w:r>
        <w:r w:rsidRPr="00DE2115">
          <w:rPr>
            <w:rStyle w:val="Hyperlink"/>
          </w:rPr>
          <w:noBreakHyphen/>
          <w:t>page 7</w:t>
        </w:r>
      </w:hyperlink>
      <w:r w:rsidRPr="00DE2115">
        <w:t>)</w:t>
      </w:r>
    </w:p>
    <w:p w:rsidR="00B6658F" w:rsidRDefault="00B6658F" w:rsidP="00B6658F">
      <w:pPr>
        <w:widowControl w:val="0"/>
        <w:tabs>
          <w:tab w:val="right" w:pos="1008"/>
          <w:tab w:val="left" w:pos="1152"/>
          <w:tab w:val="left" w:pos="1872"/>
          <w:tab w:val="left" w:pos="9187"/>
        </w:tabs>
        <w:ind w:left="2088" w:hanging="2088"/>
        <w:jc w:val="left"/>
      </w:pPr>
      <w:r>
        <w:tab/>
        <w:t>5/25/2011</w:t>
      </w:r>
      <w:r>
        <w:tab/>
        <w:t>House</w:t>
      </w:r>
      <w:r>
        <w:tab/>
      </w:r>
      <w:r w:rsidRPr="00DE2115">
        <w:t>Ref</w:t>
      </w:r>
      <w:r>
        <w:t xml:space="preserve">erred to Committee on </w:t>
      </w:r>
      <w:r w:rsidRPr="00DE2115">
        <w:rPr>
          <w:b/>
        </w:rPr>
        <w:t>Judiciary</w:t>
      </w:r>
      <w:r>
        <w:t xml:space="preserve"> </w:t>
      </w:r>
      <w:r w:rsidRPr="00DE2115">
        <w:t>(</w:t>
      </w:r>
      <w:hyperlink r:id="rId8" w:history="1">
        <w:r w:rsidRPr="00DE2115">
          <w:rPr>
            <w:rStyle w:val="Hyperlink"/>
          </w:rPr>
          <w:t>House Journal</w:t>
        </w:r>
        <w:r w:rsidRPr="00DE2115">
          <w:rPr>
            <w:rStyle w:val="Hyperlink"/>
          </w:rPr>
          <w:noBreakHyphen/>
          <w:t>page 7</w:t>
        </w:r>
      </w:hyperlink>
      <w:r w:rsidRPr="00DE2115">
        <w:t>)</w:t>
      </w:r>
    </w:p>
    <w:p w:rsidR="00B6658F" w:rsidRDefault="00B6658F" w:rsidP="00B6658F">
      <w:pPr>
        <w:widowControl w:val="0"/>
        <w:tabs>
          <w:tab w:val="right" w:pos="1008"/>
          <w:tab w:val="left" w:pos="1152"/>
          <w:tab w:val="left" w:pos="1872"/>
          <w:tab w:val="left" w:pos="9187"/>
        </w:tabs>
        <w:ind w:left="2088" w:hanging="2088"/>
        <w:jc w:val="left"/>
      </w:pPr>
    </w:p>
    <w:p w:rsidR="004E6223" w:rsidRPr="004E6223" w:rsidRDefault="004E6223" w:rsidP="004E6223">
      <w:pPr>
        <w:widowControl w:val="0"/>
        <w:tabs>
          <w:tab w:val="right" w:pos="1008"/>
          <w:tab w:val="left" w:pos="1152"/>
          <w:tab w:val="left" w:pos="1872"/>
          <w:tab w:val="left" w:pos="9187"/>
        </w:tabs>
        <w:ind w:left="2088" w:hanging="2088"/>
        <w:jc w:val="left"/>
      </w:pPr>
    </w:p>
    <w:p w:rsidR="004E6223" w:rsidRDefault="004E6223" w:rsidP="004E6223">
      <w:pPr>
        <w:widowControl w:val="0"/>
        <w:jc w:val="left"/>
      </w:pPr>
      <w:r w:rsidRPr="004E6223">
        <w:rPr>
          <w:b/>
        </w:rPr>
        <w:t>VERSIONS OF THIS BILL</w:t>
      </w:r>
    </w:p>
    <w:p w:rsidR="004E6223" w:rsidRDefault="004E6223" w:rsidP="004E6223">
      <w:pPr>
        <w:widowControl w:val="0"/>
        <w:jc w:val="left"/>
      </w:pPr>
    </w:p>
    <w:p w:rsidR="004E6223" w:rsidRDefault="00907C32" w:rsidP="004E6223">
      <w:pPr>
        <w:widowControl w:val="0"/>
        <w:jc w:val="left"/>
      </w:pPr>
      <w:hyperlink r:id="rId9" w:history="1">
        <w:r w:rsidR="004E6223">
          <w:rPr>
            <w:rStyle w:val="Hyperlink"/>
          </w:rPr>
          <w:t>5/25/2011</w:t>
        </w:r>
      </w:hyperlink>
    </w:p>
    <w:p w:rsidR="004E6223" w:rsidRDefault="004E6223" w:rsidP="004E6223"/>
    <w:p w:rsidR="004E6223" w:rsidRDefault="004E6223" w:rsidP="004E6223">
      <w:pPr>
        <w:sectPr w:rsidR="004E6223" w:rsidSect="004E622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399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3A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121F18">
        <w:rPr>
          <w:rFonts w:eastAsia="Calibri"/>
          <w:color w:val="000000" w:themeColor="text1"/>
          <w:u w:color="000000" w:themeColor="text1"/>
        </w:rPr>
        <w:t>TO AMEND THE CODE OF LAWS OF SOUTH CAROLINA, 1976, BY ADDING SECTION 16</w:t>
      </w:r>
      <w:r>
        <w:rPr>
          <w:rFonts w:eastAsia="Calibri"/>
          <w:color w:val="000000" w:themeColor="text1"/>
          <w:u w:color="000000" w:themeColor="text1"/>
        </w:rPr>
        <w:noBreakHyphen/>
      </w:r>
      <w:r w:rsidRPr="00121F18">
        <w:rPr>
          <w:rFonts w:eastAsia="Calibri"/>
          <w:color w:val="000000" w:themeColor="text1"/>
          <w:u w:color="000000" w:themeColor="text1"/>
        </w:rPr>
        <w:t>3</w:t>
      </w:r>
      <w:r>
        <w:rPr>
          <w:rFonts w:eastAsia="Calibri"/>
          <w:color w:val="000000" w:themeColor="text1"/>
          <w:u w:color="000000" w:themeColor="text1"/>
        </w:rPr>
        <w:noBreakHyphen/>
      </w:r>
      <w:r w:rsidRPr="00121F18">
        <w:rPr>
          <w:rFonts w:eastAsia="Calibri"/>
          <w:color w:val="000000" w:themeColor="text1"/>
          <w:u w:color="000000" w:themeColor="text1"/>
        </w:rPr>
        <w:t>605 SO AS TO PROVIDE THAT IT IS UNLAWFUL FOR A PERSON TO IMPEDE THE NORMAL BREATHING OR BLOOD CIRCULATION OF ANOTHER PERSON WITHOUT CONSENT BY INTENTIONALLY APPLYING PRESSURE TO THE OTHER PERSON</w:t>
      </w:r>
      <w:r w:rsidRPr="00AC3A95">
        <w:rPr>
          <w:rFonts w:eastAsia="Calibri"/>
          <w:color w:val="000000" w:themeColor="text1"/>
          <w:u w:color="000000" w:themeColor="text1"/>
        </w:rPr>
        <w:t>’</w:t>
      </w:r>
      <w:r w:rsidRPr="00121F18">
        <w:rPr>
          <w:rFonts w:eastAsia="Calibri"/>
          <w:color w:val="000000" w:themeColor="text1"/>
          <w:u w:color="000000" w:themeColor="text1"/>
        </w:rPr>
        <w:t>S THROAT OR NECK OR OBSTRUCTING THE OTHER PERSON</w:t>
      </w:r>
      <w:r w:rsidRPr="00AC3A95">
        <w:rPr>
          <w:rFonts w:eastAsia="Calibri"/>
          <w:color w:val="000000" w:themeColor="text1"/>
          <w:u w:color="000000" w:themeColor="text1"/>
        </w:rPr>
        <w:t>’</w:t>
      </w:r>
      <w:r w:rsidRPr="00121F18">
        <w:rPr>
          <w:rFonts w:eastAsia="Calibri"/>
          <w:color w:val="000000" w:themeColor="text1"/>
          <w:u w:color="000000" w:themeColor="text1"/>
        </w:rPr>
        <w:t>S NOSE OR MOUTH</w:t>
      </w:r>
      <w:r>
        <w:rPr>
          <w:rFonts w:eastAsia="Calibri"/>
          <w:color w:val="000000" w:themeColor="text1"/>
          <w:u w:color="000000" w:themeColor="text1"/>
        </w:rPr>
        <w:t xml:space="preserve"> AND TO PROVIDE PENALTIES</w:t>
      </w:r>
      <w:r w:rsidRPr="00121F18">
        <w:rPr>
          <w:rFonts w:eastAsia="Calibri"/>
          <w:color w:val="000000" w:themeColor="text1"/>
          <w:u w:color="000000" w:themeColor="text1"/>
        </w:rPr>
        <w:t>; AND TO AMEND SECTION 16</w:t>
      </w:r>
      <w:r>
        <w:rPr>
          <w:rFonts w:eastAsia="Calibri"/>
          <w:color w:val="000000" w:themeColor="text1"/>
          <w:u w:color="000000" w:themeColor="text1"/>
        </w:rPr>
        <w:noBreakHyphen/>
      </w:r>
      <w:r w:rsidRPr="00121F18">
        <w:rPr>
          <w:rFonts w:eastAsia="Calibri"/>
          <w:color w:val="000000" w:themeColor="text1"/>
          <w:u w:color="000000" w:themeColor="text1"/>
        </w:rPr>
        <w:t>25</w:t>
      </w:r>
      <w:r>
        <w:rPr>
          <w:rFonts w:eastAsia="Calibri"/>
          <w:color w:val="000000" w:themeColor="text1"/>
          <w:u w:color="000000" w:themeColor="text1"/>
        </w:rPr>
        <w:noBreakHyphen/>
      </w:r>
      <w:r w:rsidRPr="00121F18">
        <w:rPr>
          <w:rFonts w:eastAsia="Calibri"/>
          <w:color w:val="000000" w:themeColor="text1"/>
          <w:u w:color="000000" w:themeColor="text1"/>
        </w:rPr>
        <w:t>65</w:t>
      </w:r>
      <w:r>
        <w:rPr>
          <w:rFonts w:eastAsia="Calibri"/>
          <w:color w:val="000000" w:themeColor="text1"/>
          <w:u w:color="000000" w:themeColor="text1"/>
        </w:rPr>
        <w:t>, AS AMENDED,</w:t>
      </w:r>
      <w:r w:rsidRPr="00121F18">
        <w:rPr>
          <w:rFonts w:eastAsia="Calibri"/>
          <w:color w:val="000000" w:themeColor="text1"/>
          <w:u w:color="000000" w:themeColor="text1"/>
        </w:rPr>
        <w:t xml:space="preserve"> RELATING TO CRIMINAL DOMESTIC VIOLENCE OF A HIGH AND AGGRAVATED NATURE, SO AS TO PROVIDE THAT A PERSON WHO VIOLATES SECTION 16</w:t>
      </w:r>
      <w:r>
        <w:rPr>
          <w:rFonts w:eastAsia="Calibri"/>
          <w:color w:val="000000" w:themeColor="text1"/>
          <w:u w:color="000000" w:themeColor="text1"/>
        </w:rPr>
        <w:noBreakHyphen/>
      </w:r>
      <w:r w:rsidRPr="00121F18">
        <w:rPr>
          <w:rFonts w:eastAsia="Calibri"/>
          <w:color w:val="000000" w:themeColor="text1"/>
          <w:u w:color="000000" w:themeColor="text1"/>
        </w:rPr>
        <w:t>25</w:t>
      </w:r>
      <w:r>
        <w:rPr>
          <w:rFonts w:eastAsia="Calibri"/>
          <w:color w:val="000000" w:themeColor="text1"/>
          <w:u w:color="000000" w:themeColor="text1"/>
        </w:rPr>
        <w:noBreakHyphen/>
      </w:r>
      <w:r w:rsidRPr="00121F18">
        <w:rPr>
          <w:rFonts w:eastAsia="Calibri"/>
          <w:color w:val="000000" w:themeColor="text1"/>
          <w:u w:color="000000" w:themeColor="text1"/>
        </w:rPr>
        <w:t>20 IS GUILTY OF THE OFFENSE OF CRIMINAL DOMESTIC VIOLENCE OF A HIGH AND AGGRAVATED NATURE WHEN THE PERSON COMMITS A VIOLATION OF SECTION 16</w:t>
      </w:r>
      <w:r>
        <w:rPr>
          <w:rFonts w:eastAsia="Calibri"/>
          <w:color w:val="000000" w:themeColor="text1"/>
          <w:u w:color="000000" w:themeColor="text1"/>
        </w:rPr>
        <w:noBreakHyphen/>
      </w:r>
      <w:r w:rsidRPr="00121F18">
        <w:rPr>
          <w:rFonts w:eastAsia="Calibri"/>
          <w:color w:val="000000" w:themeColor="text1"/>
          <w:u w:color="000000" w:themeColor="text1"/>
        </w:rPr>
        <w:t>3</w:t>
      </w:r>
      <w:r>
        <w:rPr>
          <w:rFonts w:eastAsia="Calibri"/>
          <w:color w:val="000000" w:themeColor="text1"/>
          <w:u w:color="000000" w:themeColor="text1"/>
        </w:rPr>
        <w:noBreakHyphen/>
      </w:r>
      <w:r w:rsidRPr="00121F18">
        <w:rPr>
          <w:rFonts w:eastAsia="Calibri"/>
          <w:color w:val="000000" w:themeColor="text1"/>
          <w:u w:color="000000" w:themeColor="text1"/>
        </w:rPr>
        <w:t>605.</w:t>
      </w:r>
    </w:p>
    <w:p w:rsidR="002D399C" w:rsidRDefault="002D3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399C" w:rsidRDefault="002D3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399C" w:rsidRDefault="002D3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A95" w:rsidRPr="00121F18" w:rsidRDefault="002D399C"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C3A95" w:rsidRPr="00121F18">
        <w:rPr>
          <w:color w:val="000000" w:themeColor="text1"/>
          <w:u w:color="000000" w:themeColor="text1"/>
        </w:rPr>
        <w:t>Article 7, Chapter 3, Title 16 of the 1976 Code is amended by adding:</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1F18">
        <w:rPr>
          <w:color w:val="000000" w:themeColor="text1"/>
          <w:u w:color="000000" w:themeColor="text1"/>
        </w:rPr>
        <w:t>“Section 16</w:t>
      </w:r>
      <w:r>
        <w:rPr>
          <w:color w:val="000000" w:themeColor="text1"/>
          <w:u w:color="000000" w:themeColor="text1"/>
        </w:rPr>
        <w:noBreakHyphen/>
      </w:r>
      <w:r w:rsidRPr="00121F18">
        <w:rPr>
          <w:color w:val="000000" w:themeColor="text1"/>
          <w:u w:color="000000" w:themeColor="text1"/>
        </w:rPr>
        <w:t>3</w:t>
      </w:r>
      <w:r>
        <w:rPr>
          <w:color w:val="000000" w:themeColor="text1"/>
          <w:u w:color="000000" w:themeColor="text1"/>
        </w:rPr>
        <w:noBreakHyphen/>
        <w:t>605.</w:t>
      </w:r>
      <w:r>
        <w:rPr>
          <w:color w:val="000000" w:themeColor="text1"/>
          <w:u w:color="000000" w:themeColor="text1"/>
        </w:rPr>
        <w:tab/>
        <w:t>(A)</w:t>
      </w:r>
      <w:r>
        <w:rPr>
          <w:color w:val="000000" w:themeColor="text1"/>
          <w:u w:color="000000" w:themeColor="text1"/>
        </w:rPr>
        <w:tab/>
      </w:r>
      <w:r w:rsidRPr="00121F18">
        <w:rPr>
          <w:color w:val="000000" w:themeColor="text1"/>
          <w:u w:color="000000" w:themeColor="text1"/>
        </w:rPr>
        <w:t>For purpose</w:t>
      </w:r>
      <w:r>
        <w:rPr>
          <w:color w:val="000000" w:themeColor="text1"/>
          <w:u w:color="000000" w:themeColor="text1"/>
        </w:rPr>
        <w:t>s</w:t>
      </w:r>
      <w:r w:rsidRPr="00121F18">
        <w:rPr>
          <w:color w:val="000000" w:themeColor="text1"/>
          <w:u w:color="000000" w:themeColor="text1"/>
        </w:rPr>
        <w:t xml:space="preserve"> of this section:</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C3A95">
        <w:rPr>
          <w:color w:val="000000" w:themeColor="text1"/>
          <w:u w:color="000000" w:themeColor="text1"/>
        </w:rPr>
        <w:t>‘</w:t>
      </w:r>
      <w:r w:rsidRPr="00121F18">
        <w:rPr>
          <w:color w:val="000000" w:themeColor="text1"/>
          <w:u w:color="000000" w:themeColor="text1"/>
        </w:rPr>
        <w:t>Deadly weapon</w:t>
      </w:r>
      <w:r w:rsidRPr="00AC3A95">
        <w:rPr>
          <w:color w:val="000000" w:themeColor="text1"/>
          <w:u w:color="000000" w:themeColor="text1"/>
        </w:rPr>
        <w:t>’</w:t>
      </w:r>
      <w:r w:rsidRPr="00121F18">
        <w:rPr>
          <w:color w:val="000000" w:themeColor="text1"/>
          <w:u w:color="000000" w:themeColor="text1"/>
        </w:rPr>
        <w:t xml:space="preserve"> means an </w:t>
      </w:r>
      <w:r>
        <w:rPr>
          <w:color w:val="000000" w:themeColor="text1"/>
          <w:u w:color="000000" w:themeColor="text1"/>
        </w:rPr>
        <w:t>instrument that</w:t>
      </w:r>
      <w:r w:rsidRPr="00121F18">
        <w:rPr>
          <w:color w:val="000000" w:themeColor="text1"/>
          <w:u w:color="000000" w:themeColor="text1"/>
        </w:rPr>
        <w:t xml:space="preserve"> can be used to inflict deadly force.</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C3A95">
        <w:rPr>
          <w:color w:val="000000" w:themeColor="text1"/>
          <w:u w:color="000000" w:themeColor="text1"/>
        </w:rPr>
        <w:t>‘</w:t>
      </w:r>
      <w:r w:rsidRPr="00121F18">
        <w:rPr>
          <w:color w:val="000000" w:themeColor="text1"/>
          <w:u w:color="000000" w:themeColor="text1"/>
        </w:rPr>
        <w:t>Great bodily i</w:t>
      </w:r>
      <w:r>
        <w:rPr>
          <w:color w:val="000000" w:themeColor="text1"/>
          <w:u w:color="000000" w:themeColor="text1"/>
        </w:rPr>
        <w:t>njury</w:t>
      </w:r>
      <w:r w:rsidRPr="00AC3A95">
        <w:rPr>
          <w:color w:val="000000" w:themeColor="text1"/>
          <w:u w:color="000000" w:themeColor="text1"/>
        </w:rPr>
        <w:t>’</w:t>
      </w:r>
      <w:r>
        <w:rPr>
          <w:color w:val="000000" w:themeColor="text1"/>
          <w:u w:color="000000" w:themeColor="text1"/>
        </w:rPr>
        <w:t xml:space="preserve"> means bodily injury that</w:t>
      </w:r>
      <w:r w:rsidRPr="00121F18">
        <w:rPr>
          <w:color w:val="000000" w:themeColor="text1"/>
          <w:u w:color="000000" w:themeColor="text1"/>
        </w:rPr>
        <w:t xml:space="preserve"> causes a su</w:t>
      </w:r>
      <w:r>
        <w:rPr>
          <w:color w:val="000000" w:themeColor="text1"/>
          <w:u w:color="000000" w:themeColor="text1"/>
        </w:rPr>
        <w:t>bstantial risk of death or that</w:t>
      </w:r>
      <w:r w:rsidRPr="00121F18">
        <w:rPr>
          <w:color w:val="000000" w:themeColor="text1"/>
          <w:u w:color="000000" w:themeColor="text1"/>
        </w:rPr>
        <w:t xml:space="preserve"> causes serious, permanent disfigurement</w:t>
      </w:r>
      <w:r>
        <w:rPr>
          <w:color w:val="000000" w:themeColor="text1"/>
          <w:u w:color="000000" w:themeColor="text1"/>
        </w:rPr>
        <w:t>,</w:t>
      </w:r>
      <w:r w:rsidRPr="00121F18">
        <w:rPr>
          <w:color w:val="000000" w:themeColor="text1"/>
          <w:u w:color="000000" w:themeColor="text1"/>
        </w:rPr>
        <w:t xml:space="preserve"> or protracted loss or impairment of the function of a bodily member or organ.</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C3A95">
        <w:rPr>
          <w:color w:val="000000" w:themeColor="text1"/>
          <w:u w:color="000000" w:themeColor="text1"/>
        </w:rPr>
        <w:t>‘</w:t>
      </w:r>
      <w:r w:rsidRPr="00121F18">
        <w:rPr>
          <w:color w:val="000000" w:themeColor="text1"/>
          <w:u w:color="000000" w:themeColor="text1"/>
        </w:rPr>
        <w:t>Licensed health care professional</w:t>
      </w:r>
      <w:r w:rsidRPr="00AC3A95">
        <w:rPr>
          <w:color w:val="000000" w:themeColor="text1"/>
          <w:u w:color="000000" w:themeColor="text1"/>
        </w:rPr>
        <w:t>’</w:t>
      </w:r>
      <w:r w:rsidRPr="00121F18">
        <w:rPr>
          <w:color w:val="000000" w:themeColor="text1"/>
          <w:u w:color="000000" w:themeColor="text1"/>
        </w:rPr>
        <w:t xml:space="preserve"> means a duly licensed physician, surgeon, podiatrist, osteopath, osteopathic physician, osteopathic surgeon, physician assistant, nurse, dentist, or pharmacist.</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21F18">
        <w:rPr>
          <w:color w:val="000000" w:themeColor="text1"/>
          <w:u w:color="000000" w:themeColor="text1"/>
        </w:rPr>
        <w:t>It is unlawful for a person to impede the normal breathing or blood circulation of another person without consent by intentionally:</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applying pressure to the other person</w:t>
      </w:r>
      <w:r w:rsidRPr="00AC3A95">
        <w:rPr>
          <w:color w:val="000000" w:themeColor="text1"/>
          <w:u w:color="000000" w:themeColor="text1"/>
        </w:rPr>
        <w:t>’</w:t>
      </w:r>
      <w:r w:rsidRPr="00121F18">
        <w:rPr>
          <w:color w:val="000000" w:themeColor="text1"/>
          <w:u w:color="000000" w:themeColor="text1"/>
        </w:rPr>
        <w:t>s throat or neck; or</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obstructing the other person</w:t>
      </w:r>
      <w:r w:rsidRPr="00AC3A95">
        <w:rPr>
          <w:color w:val="000000" w:themeColor="text1"/>
          <w:u w:color="000000" w:themeColor="text1"/>
        </w:rPr>
        <w:t>’</w:t>
      </w:r>
      <w:r w:rsidRPr="00121F18">
        <w:rPr>
          <w:color w:val="000000" w:themeColor="text1"/>
          <w:u w:color="000000" w:themeColor="text1"/>
        </w:rPr>
        <w:t>s nose or mouth.</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21F18">
        <w:rPr>
          <w:color w:val="000000" w:themeColor="text1"/>
          <w:u w:color="000000" w:themeColor="text1"/>
        </w:rPr>
        <w:t>This section does not apply if a person is:</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a licensed health care professional performing a valid medical procedure; or</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a law enforcement officer acting within the legal scope of the officer</w:t>
      </w:r>
      <w:r w:rsidRPr="00AC3A95">
        <w:rPr>
          <w:color w:val="000000" w:themeColor="text1"/>
          <w:u w:color="000000" w:themeColor="text1"/>
        </w:rPr>
        <w:t>’</w:t>
      </w:r>
      <w:r w:rsidRPr="00121F18">
        <w:rPr>
          <w:color w:val="000000" w:themeColor="text1"/>
          <w:u w:color="000000" w:themeColor="text1"/>
        </w:rPr>
        <w:t>s duties.</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21F18">
        <w:rPr>
          <w:color w:val="000000" w:themeColor="text1"/>
          <w:u w:color="000000" w:themeColor="text1"/>
        </w:rPr>
        <w:t>A person who violates this section is guilty of a felony, and, upon conviction, must be imprisoned not more than ten years.</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121F18">
        <w:rPr>
          <w:color w:val="000000" w:themeColor="text1"/>
          <w:u w:color="000000" w:themeColor="text1"/>
        </w:rPr>
        <w:t>A person who violates this section is guilty of a felony, and, upon conviction, must be imprisoned not more than twenty years, if the person, while violating this section:</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 xml:space="preserve">uses or attempts to use a dangerous instrument or deadly weapon; </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 xml:space="preserve">causes great bodily injury to the other person; </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21F18">
        <w:rPr>
          <w:color w:val="000000" w:themeColor="text1"/>
          <w:u w:color="000000" w:themeColor="text1"/>
        </w:rPr>
        <w:t>has previously been convicted of a violation of this section or another state</w:t>
      </w:r>
      <w:r w:rsidRPr="00AC3A95">
        <w:rPr>
          <w:color w:val="000000" w:themeColor="text1"/>
          <w:u w:color="000000" w:themeColor="text1"/>
        </w:rPr>
        <w:t>’</w:t>
      </w:r>
      <w:r w:rsidRPr="00121F18">
        <w:rPr>
          <w:color w:val="000000" w:themeColor="text1"/>
          <w:u w:color="000000" w:themeColor="text1"/>
        </w:rPr>
        <w:t>s law substantially similar to this section; or</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121F18">
        <w:rPr>
          <w:color w:val="000000" w:themeColor="text1"/>
          <w:u w:color="000000" w:themeColor="text1"/>
        </w:rPr>
        <w:t xml:space="preserve">has previously been convicted of a violent crime as </w:t>
      </w:r>
      <w:r>
        <w:rPr>
          <w:color w:val="000000" w:themeColor="text1"/>
          <w:u w:color="000000" w:themeColor="text1"/>
        </w:rPr>
        <w:t>defined</w:t>
      </w:r>
      <w:r w:rsidRPr="00121F18">
        <w:rPr>
          <w:color w:val="000000" w:themeColor="text1"/>
          <w:u w:color="000000" w:themeColor="text1"/>
        </w:rPr>
        <w:t xml:space="preserve"> in Section 16</w:t>
      </w:r>
      <w:r>
        <w:rPr>
          <w:color w:val="000000" w:themeColor="text1"/>
          <w:u w:color="000000" w:themeColor="text1"/>
        </w:rPr>
        <w:noBreakHyphen/>
      </w:r>
      <w:r w:rsidRPr="00121F18">
        <w:rPr>
          <w:color w:val="000000" w:themeColor="text1"/>
          <w:u w:color="000000" w:themeColor="text1"/>
        </w:rPr>
        <w:t>1</w:t>
      </w:r>
      <w:r>
        <w:rPr>
          <w:color w:val="000000" w:themeColor="text1"/>
          <w:u w:color="000000" w:themeColor="text1"/>
        </w:rPr>
        <w:noBreakHyphen/>
      </w:r>
      <w:r w:rsidRPr="00121F18">
        <w:rPr>
          <w:color w:val="000000" w:themeColor="text1"/>
          <w:u w:color="000000" w:themeColor="text1"/>
        </w:rPr>
        <w:t>60.”</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Section 16</w:t>
      </w:r>
      <w:r>
        <w:rPr>
          <w:color w:val="000000" w:themeColor="text1"/>
          <w:u w:color="000000" w:themeColor="text1"/>
        </w:rPr>
        <w:noBreakHyphen/>
      </w:r>
      <w:r w:rsidRPr="00121F18">
        <w:rPr>
          <w:color w:val="000000" w:themeColor="text1"/>
          <w:u w:color="000000" w:themeColor="text1"/>
        </w:rPr>
        <w:t>25</w:t>
      </w:r>
      <w:r>
        <w:rPr>
          <w:color w:val="000000" w:themeColor="text1"/>
          <w:u w:color="000000" w:themeColor="text1"/>
        </w:rPr>
        <w:noBreakHyphen/>
      </w:r>
      <w:r w:rsidRPr="00121F18">
        <w:rPr>
          <w:color w:val="000000" w:themeColor="text1"/>
          <w:u w:color="000000" w:themeColor="text1"/>
        </w:rPr>
        <w:t>65 of the 1976 Code</w:t>
      </w:r>
      <w:r>
        <w:rPr>
          <w:color w:val="000000" w:themeColor="text1"/>
          <w:u w:color="000000" w:themeColor="text1"/>
        </w:rPr>
        <w:t>, as last amended by Act 166 of 2005,</w:t>
      </w:r>
      <w:r w:rsidRPr="00121F18">
        <w:rPr>
          <w:color w:val="000000" w:themeColor="text1"/>
          <w:u w:color="000000" w:themeColor="text1"/>
        </w:rPr>
        <w:t xml:space="preserve"> is</w:t>
      </w:r>
      <w:r>
        <w:rPr>
          <w:color w:val="000000" w:themeColor="text1"/>
          <w:u w:color="000000" w:themeColor="text1"/>
        </w:rPr>
        <w:t xml:space="preserve"> further</w:t>
      </w:r>
      <w:r w:rsidRPr="00121F18">
        <w:rPr>
          <w:color w:val="000000" w:themeColor="text1"/>
          <w:u w:color="000000" w:themeColor="text1"/>
        </w:rPr>
        <w:t xml:space="preserve"> amended to read: </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25</w:t>
      </w:r>
      <w:r>
        <w:rPr>
          <w:color w:val="000000" w:themeColor="text1"/>
          <w:u w:color="000000" w:themeColor="text1"/>
        </w:rPr>
        <w:noBreakHyphen/>
        <w:t>65.</w:t>
      </w:r>
      <w:r>
        <w:rPr>
          <w:color w:val="000000" w:themeColor="text1"/>
          <w:u w:color="000000" w:themeColor="text1"/>
        </w:rPr>
        <w:tab/>
        <w:t>(A)</w:t>
      </w:r>
      <w:r>
        <w:rPr>
          <w:color w:val="000000" w:themeColor="text1"/>
          <w:u w:color="000000" w:themeColor="text1"/>
        </w:rPr>
        <w:tab/>
      </w:r>
      <w:r w:rsidRPr="00121F18">
        <w:rPr>
          <w:color w:val="000000" w:themeColor="text1"/>
          <w:u w:color="000000" w:themeColor="text1"/>
        </w:rPr>
        <w:t>A person who violates Section 16</w:t>
      </w:r>
      <w:r>
        <w:rPr>
          <w:color w:val="000000" w:themeColor="text1"/>
          <w:u w:color="000000" w:themeColor="text1"/>
        </w:rPr>
        <w:noBreakHyphen/>
      </w:r>
      <w:r w:rsidRPr="00121F18">
        <w:rPr>
          <w:color w:val="000000" w:themeColor="text1"/>
          <w:u w:color="000000" w:themeColor="text1"/>
        </w:rPr>
        <w:t>25</w:t>
      </w:r>
      <w:r>
        <w:rPr>
          <w:color w:val="000000" w:themeColor="text1"/>
          <w:u w:color="000000" w:themeColor="text1"/>
        </w:rPr>
        <w:noBreakHyphen/>
      </w:r>
      <w:r w:rsidRPr="00121F18">
        <w:rPr>
          <w:color w:val="000000" w:themeColor="text1"/>
          <w:u w:color="000000" w:themeColor="text1"/>
        </w:rPr>
        <w:t xml:space="preserve">20(A) is guilty of the offense of criminal domestic violence of a high and aggravated nature when one of the following occurs.  The person commits: </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 xml:space="preserve">an assault and battery which involves the use of a deadly weapon or results in serious bodily injury to the victim;  </w:t>
      </w:r>
      <w:r w:rsidRPr="00121F18">
        <w:rPr>
          <w:strike/>
          <w:color w:val="000000" w:themeColor="text1"/>
          <w:u w:color="000000" w:themeColor="text1"/>
        </w:rPr>
        <w:t>or</w:t>
      </w:r>
      <w:r w:rsidRPr="00121F18">
        <w:rPr>
          <w:color w:val="000000" w:themeColor="text1"/>
          <w:u w:color="000000" w:themeColor="text1"/>
        </w:rPr>
        <w:t xml:space="preserve"> </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an assault, with or without an accompanying battery, which would reasonably cause a person to fear imminent serious bodily injury or death</w:t>
      </w:r>
      <w:r w:rsidRPr="00121F18">
        <w:rPr>
          <w:color w:val="000000" w:themeColor="text1"/>
          <w:u w:val="single" w:color="000000" w:themeColor="text1"/>
        </w:rPr>
        <w:t>;  or</w:t>
      </w:r>
      <w:r w:rsidRPr="00121F18">
        <w:rPr>
          <w:color w:val="000000" w:themeColor="text1"/>
          <w:u w:color="000000" w:themeColor="text1"/>
        </w:rPr>
        <w:t xml:space="preserve"> </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1F18">
        <w:rPr>
          <w:color w:val="000000" w:themeColor="text1"/>
          <w:u w:color="000000" w:themeColor="text1"/>
        </w:rPr>
        <w:tab/>
      </w:r>
      <w:r w:rsidRPr="00121F18">
        <w:rPr>
          <w:color w:val="000000" w:themeColor="text1"/>
          <w:u w:color="000000" w:themeColor="text1"/>
        </w:rPr>
        <w:tab/>
      </w:r>
      <w:r w:rsidRPr="00121F18">
        <w:rPr>
          <w:color w:val="000000" w:themeColor="text1"/>
          <w:u w:val="single" w:color="000000" w:themeColor="text1"/>
        </w:rPr>
        <w:t>(3)</w:t>
      </w:r>
      <w:r>
        <w:rPr>
          <w:color w:val="000000" w:themeColor="text1"/>
          <w:u w:color="000000" w:themeColor="text1"/>
        </w:rPr>
        <w:tab/>
      </w:r>
      <w:r w:rsidRPr="00121F18">
        <w:rPr>
          <w:color w:val="000000" w:themeColor="text1"/>
          <w:u w:val="single" w:color="000000" w:themeColor="text1"/>
        </w:rPr>
        <w:t>a violation of Section 16</w:t>
      </w:r>
      <w:r>
        <w:rPr>
          <w:color w:val="000000" w:themeColor="text1"/>
          <w:u w:val="single" w:color="000000" w:themeColor="text1"/>
        </w:rPr>
        <w:noBreakHyphen/>
      </w:r>
      <w:r w:rsidRPr="00121F18">
        <w:rPr>
          <w:color w:val="000000" w:themeColor="text1"/>
          <w:u w:val="single" w:color="000000" w:themeColor="text1"/>
        </w:rPr>
        <w:t>3</w:t>
      </w:r>
      <w:r>
        <w:rPr>
          <w:color w:val="000000" w:themeColor="text1"/>
          <w:u w:val="single" w:color="000000" w:themeColor="text1"/>
        </w:rPr>
        <w:noBreakHyphen/>
      </w:r>
      <w:r w:rsidRPr="00121F18">
        <w:rPr>
          <w:color w:val="000000" w:themeColor="text1"/>
          <w:u w:val="single" w:color="000000" w:themeColor="text1"/>
        </w:rPr>
        <w:t>605</w:t>
      </w:r>
      <w:r w:rsidRPr="00121F18">
        <w:rPr>
          <w:color w:val="000000" w:themeColor="text1"/>
          <w:u w:color="000000" w:themeColor="text1"/>
        </w:rPr>
        <w:t>.</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21F18">
        <w:rPr>
          <w:color w:val="000000" w:themeColor="text1"/>
          <w:u w:color="000000" w:themeColor="text1"/>
        </w:rPr>
        <w:t>A person who violates subsection (A) is guilty of a felony and, upon conviction, must be imprisoned not less than a mandatory minimum of one year nor more than ten years.  The court may suspend the imposition or execution of all or part of the sentence, except the one</w:t>
      </w:r>
      <w:r>
        <w:rPr>
          <w:color w:val="000000" w:themeColor="text1"/>
          <w:u w:color="000000" w:themeColor="text1"/>
        </w:rPr>
        <w:noBreakHyphen/>
      </w:r>
      <w:r w:rsidRPr="00121F18">
        <w:rPr>
          <w:color w:val="000000" w:themeColor="text1"/>
          <w:u w:color="000000" w:themeColor="text1"/>
        </w:rPr>
        <w:t>year mandatory minimum sentence, and place the offender on probation conditioned upon the offender completing, to the satisfaction of the court, a program designed to treat batterers offered through a government agency, nonprofit organization, or private provider approved by the Department of Social Services.  The offender must pay a reasonable fee for participation in the treatment program, but no person may be denied treatment due to inability to pay.  If the offender suffers from a substance abuse problem, the judge may order, or the batterer treatment program may refer, the offender to supplemental treatment coordinated through the Department of Alcohol and Other Drug Abuse Services with the local alcohol and drug treatment authorities pursuant to Section 61</w:t>
      </w:r>
      <w:r>
        <w:rPr>
          <w:color w:val="000000" w:themeColor="text1"/>
          <w:u w:color="000000" w:themeColor="text1"/>
        </w:rPr>
        <w:noBreakHyphen/>
      </w:r>
      <w:r w:rsidRPr="00121F18">
        <w:rPr>
          <w:color w:val="000000" w:themeColor="text1"/>
          <w:u w:color="000000" w:themeColor="text1"/>
        </w:rPr>
        <w:t>12</w:t>
      </w:r>
      <w:r>
        <w:rPr>
          <w:color w:val="000000" w:themeColor="text1"/>
          <w:u w:color="000000" w:themeColor="text1"/>
        </w:rPr>
        <w:noBreakHyphen/>
      </w:r>
      <w:r w:rsidRPr="00121F18">
        <w:rPr>
          <w:color w:val="000000" w:themeColor="text1"/>
          <w:u w:color="000000" w:themeColor="text1"/>
        </w:rPr>
        <w:t xml:space="preserve">20.  The offender must pay a reasonable fee for participation in the substance abuse treatment program, but no person may be denied treatment due to inability to pay. </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1F18">
        <w:rPr>
          <w:color w:val="000000" w:themeColor="text1"/>
          <w:u w:color="000000" w:themeColor="text1"/>
        </w:rPr>
        <w:tab/>
      </w:r>
      <w:r w:rsidRPr="00121F18">
        <w:rPr>
          <w:strike/>
          <w:color w:val="000000" w:themeColor="text1"/>
          <w:u w:color="000000" w:themeColor="text1"/>
        </w:rPr>
        <w:t>(C)</w:t>
      </w:r>
      <w:r w:rsidRPr="00121F18">
        <w:rPr>
          <w:color w:val="000000" w:themeColor="text1"/>
          <w:u w:color="000000" w:themeColor="text1"/>
        </w:rPr>
        <w:t xml:space="preserve"> </w:t>
      </w:r>
      <w:r w:rsidRPr="00121F18">
        <w:rPr>
          <w:strike/>
          <w:color w:val="000000" w:themeColor="text1"/>
          <w:u w:color="000000" w:themeColor="text1"/>
        </w:rPr>
        <w:t>The provisions of subsection (A) create a statutory offense of criminal domestic violence of a high and aggravated nature and must not be construed to codify the common law crime of assault and battery of a high and aggravated nature.</w:t>
      </w:r>
      <w:r w:rsidRPr="00121F18">
        <w:rPr>
          <w:color w:val="000000" w:themeColor="text1"/>
          <w:u w:color="000000" w:themeColor="text1"/>
        </w:rPr>
        <w:t xml:space="preserve">” </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A95"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121F18">
        <w:rPr>
          <w:color w:val="000000" w:themeColor="text1"/>
          <w:u w:color="000000" w:themeColor="text1"/>
        </w:rPr>
        <w:t>The repeal or amendment by this act of any law, whether temporary or permanent, civil or criminal, does not affect pending actions, rights, duties, or liabilities founded thereon, or alter, discharge, release, or extinguish any penalty, forfeiture, or liability incurred under the repealed or amended law, unless the repealed or amended provision expressly so provides.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C3A95" w:rsidRPr="00121F18" w:rsidRDefault="00AC3A95" w:rsidP="00AC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C3A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CD4ED6" w:rsidRDefault="00AC3A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4ED6" w:rsidRDefault="00CD4ED6" w:rsidP="004E6223">
      <w:pPr>
        <w:suppressAutoHyphens/>
      </w:pPr>
    </w:p>
    <w:sectPr w:rsidR="00CD4ED6" w:rsidSect="004E622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399C" w:rsidRDefault="002D399C" w:rsidP="009F0C77">
      <w:r>
        <w:separator/>
      </w:r>
    </w:p>
  </w:endnote>
  <w:endnote w:type="continuationSeparator" w:id="0">
    <w:p w:rsidR="002D399C" w:rsidRDefault="002D39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FD078D-B4DA-4597-A310-9BCDFDCA8034}"/>
    <w:embedBold r:id="rId2" w:fontKey="{0EE6B896-E523-460B-969E-D65252444D11}"/>
  </w:font>
  <w:font w:name="Calibri">
    <w:panose1 w:val="020F0502020204030204"/>
    <w:charset w:val="00"/>
    <w:family w:val="swiss"/>
    <w:pitch w:val="variable"/>
    <w:sig w:usb0="E10002FF" w:usb1="4000ACFF" w:usb2="00000009" w:usb3="00000000" w:csb0="0000019F" w:csb1="00000000"/>
    <w:embedRegular r:id="rId3" w:fontKey="{E1A09664-21C3-43B1-85DD-8B5DA0FF4676}"/>
  </w:font>
  <w:font w:name="Tahoma">
    <w:panose1 w:val="020B0604030504040204"/>
    <w:charset w:val="00"/>
    <w:family w:val="swiss"/>
    <w:pitch w:val="variable"/>
    <w:sig w:usb0="21002A87" w:usb1="80000000" w:usb2="00000008" w:usb3="00000000" w:csb0="000101FF" w:csb1="00000000"/>
    <w:embedRegular r:id="rId4" w:fontKey="{10D652AA-9EB2-43C9-9E5D-FA766D243613}"/>
  </w:font>
  <w:font w:name="Cambria">
    <w:panose1 w:val="02040503050406030204"/>
    <w:charset w:val="00"/>
    <w:family w:val="roman"/>
    <w:pitch w:val="variable"/>
    <w:sig w:usb0="E00002FF" w:usb1="400004FF" w:usb2="00000000" w:usb3="00000000" w:csb0="0000019F" w:csb1="00000000"/>
    <w:embedRegular r:id="rId5" w:fontKey="{57611CE3-0364-4A5D-B868-1B1A1E1163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223" w:rsidRPr="00CD4ED6" w:rsidRDefault="004E6223" w:rsidP="00CD4ED6">
    <w:pPr>
      <w:pStyle w:val="Footer"/>
      <w:tabs>
        <w:tab w:val="clear" w:pos="4680"/>
        <w:tab w:val="clear" w:pos="9360"/>
        <w:tab w:val="center" w:pos="2995"/>
      </w:tabs>
      <w:spacing w:before="120"/>
    </w:pPr>
    <w:r>
      <w:t>[4272]</w:t>
    </w:r>
    <w:r>
      <w:tab/>
    </w:r>
    <w:r w:rsidR="00907C32">
      <w:fldChar w:fldCharType="begin"/>
    </w:r>
    <w:r w:rsidR="00907C32">
      <w:instrText xml:space="preserve"> PAGE  \* MERGEFORMAT </w:instrText>
    </w:r>
    <w:r w:rsidR="00907C32">
      <w:fldChar w:fldCharType="separate"/>
    </w:r>
    <w:r w:rsidR="00907C32">
      <w:rPr>
        <w:noProof/>
      </w:rPr>
      <w:t>1</w:t>
    </w:r>
    <w:r w:rsidR="00907C3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399C" w:rsidRDefault="002D399C" w:rsidP="009F0C77">
      <w:r>
        <w:separator/>
      </w:r>
    </w:p>
  </w:footnote>
  <w:footnote w:type="continuationSeparator" w:id="0">
    <w:p w:rsidR="002D399C" w:rsidRDefault="002D39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91AHB11"/>
    <w:docVar w:name="CoverBillType" w:val="b"/>
    <w:docVar w:name="docpath" w:val="L:\Council\bills\MS\7391AHB11.DOCX"/>
    <w:docVar w:name="dvBillNumber" w:val="4272"/>
    <w:docVar w:name="dvBillNumberPrefix" w:val="H. "/>
    <w:docVar w:name="dvOriginalBody" w:val="House"/>
    <w:docVar w:name="dvSteno" w:val="MS"/>
    <w:docVar w:name="NameofBody" w:val="h"/>
    <w:docVar w:name="vgroup2" w:val="Council"/>
  </w:docVars>
  <w:rsids>
    <w:rsidRoot w:val="00A61859"/>
    <w:rsid w:val="00011869"/>
    <w:rsid w:val="000E1785"/>
    <w:rsid w:val="000F40FA"/>
    <w:rsid w:val="000F714A"/>
    <w:rsid w:val="0010776B"/>
    <w:rsid w:val="00133E66"/>
    <w:rsid w:val="001435A3"/>
    <w:rsid w:val="001D08F2"/>
    <w:rsid w:val="001D525B"/>
    <w:rsid w:val="001D7F4F"/>
    <w:rsid w:val="002321B6"/>
    <w:rsid w:val="00234EFD"/>
    <w:rsid w:val="00250967"/>
    <w:rsid w:val="002543C8"/>
    <w:rsid w:val="00284AAE"/>
    <w:rsid w:val="002D399C"/>
    <w:rsid w:val="002E5912"/>
    <w:rsid w:val="002E7C89"/>
    <w:rsid w:val="00325348"/>
    <w:rsid w:val="0032732C"/>
    <w:rsid w:val="00336AD0"/>
    <w:rsid w:val="0037079A"/>
    <w:rsid w:val="003D01E8"/>
    <w:rsid w:val="003E5288"/>
    <w:rsid w:val="003F6D79"/>
    <w:rsid w:val="0041760A"/>
    <w:rsid w:val="00417C01"/>
    <w:rsid w:val="004260D4"/>
    <w:rsid w:val="004756F0"/>
    <w:rsid w:val="004809EE"/>
    <w:rsid w:val="004E6223"/>
    <w:rsid w:val="004E7D54"/>
    <w:rsid w:val="005273C6"/>
    <w:rsid w:val="00530A69"/>
    <w:rsid w:val="00545593"/>
    <w:rsid w:val="00577C6C"/>
    <w:rsid w:val="005C180A"/>
    <w:rsid w:val="005C2FE2"/>
    <w:rsid w:val="005E2BC9"/>
    <w:rsid w:val="00605102"/>
    <w:rsid w:val="00611161"/>
    <w:rsid w:val="006215AA"/>
    <w:rsid w:val="006913C9"/>
    <w:rsid w:val="0069470D"/>
    <w:rsid w:val="006B068C"/>
    <w:rsid w:val="006F2C98"/>
    <w:rsid w:val="00734F00"/>
    <w:rsid w:val="0075125F"/>
    <w:rsid w:val="007841C4"/>
    <w:rsid w:val="00794853"/>
    <w:rsid w:val="007A70AE"/>
    <w:rsid w:val="008362E8"/>
    <w:rsid w:val="008A1768"/>
    <w:rsid w:val="008F4429"/>
    <w:rsid w:val="0090471A"/>
    <w:rsid w:val="00907C32"/>
    <w:rsid w:val="00930F70"/>
    <w:rsid w:val="0094021A"/>
    <w:rsid w:val="00952B4D"/>
    <w:rsid w:val="00973258"/>
    <w:rsid w:val="009C6A0B"/>
    <w:rsid w:val="009D04E2"/>
    <w:rsid w:val="009F0C77"/>
    <w:rsid w:val="009F4DD1"/>
    <w:rsid w:val="00A41684"/>
    <w:rsid w:val="00A61859"/>
    <w:rsid w:val="00A64E80"/>
    <w:rsid w:val="00A72BCD"/>
    <w:rsid w:val="00A741D9"/>
    <w:rsid w:val="00A833AB"/>
    <w:rsid w:val="00A9741D"/>
    <w:rsid w:val="00AC3A95"/>
    <w:rsid w:val="00AD4B17"/>
    <w:rsid w:val="00B412D4"/>
    <w:rsid w:val="00B61ADD"/>
    <w:rsid w:val="00B6658F"/>
    <w:rsid w:val="00B81C05"/>
    <w:rsid w:val="00B85AC9"/>
    <w:rsid w:val="00BE3C22"/>
    <w:rsid w:val="00BF3B68"/>
    <w:rsid w:val="00C0345E"/>
    <w:rsid w:val="00C3483A"/>
    <w:rsid w:val="00C74E9D"/>
    <w:rsid w:val="00C82FD3"/>
    <w:rsid w:val="00C92819"/>
    <w:rsid w:val="00CC6B7B"/>
    <w:rsid w:val="00CD2089"/>
    <w:rsid w:val="00CD4ED6"/>
    <w:rsid w:val="00CF755F"/>
    <w:rsid w:val="00D73A67"/>
    <w:rsid w:val="00D970A9"/>
    <w:rsid w:val="00DF3845"/>
    <w:rsid w:val="00E21197"/>
    <w:rsid w:val="00E41911"/>
    <w:rsid w:val="00E85E68"/>
    <w:rsid w:val="00E92EEF"/>
    <w:rsid w:val="00EA6A42"/>
    <w:rsid w:val="00F034D5"/>
    <w:rsid w:val="00F24442"/>
    <w:rsid w:val="00F502F1"/>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AB031FB-902D-4DC3-A87D-0229CE411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C3A95"/>
    <w:rPr>
      <w:rFonts w:ascii="Tahoma" w:hAnsi="Tahoma" w:cs="Tahoma"/>
      <w:sz w:val="16"/>
      <w:szCs w:val="16"/>
    </w:rPr>
  </w:style>
  <w:style w:type="character" w:customStyle="1" w:styleId="BalloonTextChar">
    <w:name w:val="Balloon Text Char"/>
    <w:basedOn w:val="DefaultParagraphFont"/>
    <w:link w:val="BalloonText"/>
    <w:uiPriority w:val="99"/>
    <w:semiHidden/>
    <w:rsid w:val="00AC3A95"/>
    <w:rPr>
      <w:rFonts w:ascii="Tahoma" w:eastAsia="Times New Roman" w:hAnsi="Tahoma" w:cs="Tahoma"/>
      <w:sz w:val="16"/>
      <w:szCs w:val="16"/>
    </w:rPr>
  </w:style>
  <w:style w:type="character" w:styleId="Hyperlink">
    <w:name w:val="Hyperlink"/>
    <w:basedOn w:val="DefaultParagraphFont"/>
    <w:uiPriority w:val="99"/>
    <w:unhideWhenUsed/>
    <w:rsid w:val="004E62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25-11.docx" TargetMode="External"/><Relationship Id="rId3" Type="http://schemas.openxmlformats.org/officeDocument/2006/relationships/settings" Target="settings.xml"/><Relationship Id="rId7" Type="http://schemas.openxmlformats.org/officeDocument/2006/relationships/hyperlink" Target="file:///h:\hj%20archive\2011\05-2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272_201105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BD6E6-4947-45F3-BDD8-A2AAB5139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990</Words>
  <Characters>5196</Characters>
  <Application>Microsoft Office Word</Application>
  <DocSecurity>4</DocSecurity>
  <Lines>153</Lines>
  <Paragraphs>47</Paragraphs>
  <ScaleCrop>false</ScaleCrop>
  <Company> </Company>
  <LinksUpToDate>false</LinksUpToDate>
  <CharactersWithSpaces>6193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4272: Criminal domestic violence to include offense of Breathing - South Carolina Legislature Online</dc:title>
  <dc:subject/>
  <dc:creator>MarthaSanders</dc:creator>
  <cp:keywords/>
  <dc:description/>
  <cp:lastModifiedBy>N Cumfer</cp:lastModifiedBy>
  <cp:revision>2</cp:revision>
  <cp:lastPrinted>2011-05-20T12:58:00Z</cp:lastPrinted>
  <dcterms:created xsi:type="dcterms:W3CDTF">2014-11-24T14:12:00Z</dcterms:created>
  <dcterms:modified xsi:type="dcterms:W3CDTF">2014-11-24T14:12:00Z</dcterms:modified>
</cp:coreProperties>
</file>