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527" w:rsidRDefault="006D0527" w:rsidP="006D0527">
      <w:pPr>
        <w:widowControl w:val="0"/>
        <w:jc w:val="center"/>
      </w:pPr>
      <w:bookmarkStart w:id="0" w:name="_GoBack"/>
      <w:bookmarkEnd w:id="0"/>
      <w:r w:rsidRPr="006D0527">
        <w:rPr>
          <w:b/>
        </w:rPr>
        <w:t>South Carolina General Assembly</w:t>
      </w:r>
    </w:p>
    <w:p w:rsidR="006D0527" w:rsidRDefault="006D0527" w:rsidP="006D0527">
      <w:pPr>
        <w:widowControl w:val="0"/>
        <w:jc w:val="center"/>
      </w:pPr>
      <w:r>
        <w:t>119th Session, 2011-2012</w:t>
      </w:r>
    </w:p>
    <w:p w:rsidR="006D0527" w:rsidRDefault="006D0527" w:rsidP="006D0527">
      <w:pPr>
        <w:widowControl w:val="0"/>
        <w:jc w:val="left"/>
      </w:pPr>
    </w:p>
    <w:p w:rsidR="006D0527" w:rsidRDefault="006D0527" w:rsidP="006D0527">
      <w:pPr>
        <w:widowControl w:val="0"/>
        <w:jc w:val="left"/>
        <w:rPr>
          <w:b/>
        </w:rPr>
      </w:pPr>
      <w:r w:rsidRPr="006D0527">
        <w:rPr>
          <w:b/>
        </w:rPr>
        <w:t>H. 4707</w:t>
      </w:r>
    </w:p>
    <w:p w:rsidR="006D0527" w:rsidRDefault="006D0527" w:rsidP="006D0527">
      <w:pPr>
        <w:widowControl w:val="0"/>
        <w:jc w:val="left"/>
        <w:rPr>
          <w:b/>
        </w:rPr>
      </w:pPr>
    </w:p>
    <w:p w:rsidR="006D0527" w:rsidRDefault="006D0527" w:rsidP="006D0527">
      <w:pPr>
        <w:widowControl w:val="0"/>
        <w:jc w:val="left"/>
      </w:pPr>
      <w:r w:rsidRPr="006D0527">
        <w:rPr>
          <w:b/>
        </w:rPr>
        <w:t>STATUS INFORMATION</w:t>
      </w:r>
    </w:p>
    <w:p w:rsidR="006D0527" w:rsidRDefault="006D0527" w:rsidP="006D0527">
      <w:pPr>
        <w:widowControl w:val="0"/>
        <w:jc w:val="left"/>
      </w:pPr>
    </w:p>
    <w:p w:rsidR="006D0527" w:rsidRDefault="006D0527" w:rsidP="006D0527">
      <w:pPr>
        <w:widowControl w:val="0"/>
        <w:jc w:val="left"/>
      </w:pPr>
      <w:r>
        <w:t>Joint Resolution</w:t>
      </w:r>
    </w:p>
    <w:p w:rsidR="006D0527" w:rsidRDefault="006D0527" w:rsidP="006D0527">
      <w:pPr>
        <w:widowControl w:val="0"/>
        <w:jc w:val="left"/>
      </w:pPr>
      <w:r>
        <w:t>Sponsors: Reps. Herbkersman, Limehouse, Patrick, Hardwick, Erickson and Bowers</w:t>
      </w:r>
    </w:p>
    <w:p w:rsidR="006D0527" w:rsidRDefault="006D0527" w:rsidP="006D0527">
      <w:pPr>
        <w:widowControl w:val="0"/>
        <w:jc w:val="left"/>
      </w:pPr>
      <w:r>
        <w:t>Document Path: l:\council\bills\nbd\12050ac12.docx</w:t>
      </w:r>
    </w:p>
    <w:p w:rsidR="006D0527" w:rsidRDefault="006D0527" w:rsidP="006D0527">
      <w:pPr>
        <w:widowControl w:val="0"/>
        <w:jc w:val="left"/>
      </w:pPr>
    </w:p>
    <w:p w:rsidR="006D0527" w:rsidRDefault="006D0527" w:rsidP="006D0527">
      <w:pPr>
        <w:widowControl w:val="0"/>
        <w:jc w:val="left"/>
      </w:pPr>
      <w:r>
        <w:t>Introduced in the House on January 31, 2012</w:t>
      </w:r>
    </w:p>
    <w:p w:rsidR="006D0527" w:rsidRDefault="006D0527" w:rsidP="006D0527">
      <w:pPr>
        <w:widowControl w:val="0"/>
        <w:jc w:val="left"/>
      </w:pPr>
      <w:r>
        <w:t xml:space="preserve">Currently residing in the House Committee on </w:t>
      </w:r>
      <w:r w:rsidRPr="006D0527">
        <w:rPr>
          <w:b/>
        </w:rPr>
        <w:t>Medical, Military, Public and Municipal Affairs</w:t>
      </w:r>
    </w:p>
    <w:p w:rsidR="006D0527" w:rsidRDefault="006D0527" w:rsidP="006D0527">
      <w:pPr>
        <w:widowControl w:val="0"/>
        <w:jc w:val="left"/>
      </w:pPr>
    </w:p>
    <w:p w:rsidR="006D0527" w:rsidRDefault="006D0527" w:rsidP="006D0527">
      <w:pPr>
        <w:widowControl w:val="0"/>
        <w:jc w:val="left"/>
      </w:pPr>
      <w:r>
        <w:t xml:space="preserve">Summary: </w:t>
      </w:r>
      <w:r w:rsidR="00EB6F77">
        <w:t>Medicaid to issue personal emergency response system devices</w:t>
      </w:r>
    </w:p>
    <w:p w:rsidR="006D0527" w:rsidRDefault="006D0527" w:rsidP="006D0527">
      <w:pPr>
        <w:widowControl w:val="0"/>
        <w:jc w:val="left"/>
      </w:pPr>
    </w:p>
    <w:p w:rsidR="006D0527" w:rsidRDefault="006D0527" w:rsidP="006D0527">
      <w:pPr>
        <w:widowControl w:val="0"/>
        <w:jc w:val="left"/>
      </w:pPr>
    </w:p>
    <w:p w:rsidR="006D0527" w:rsidRDefault="006D0527" w:rsidP="006D0527">
      <w:pPr>
        <w:widowControl w:val="0"/>
        <w:tabs>
          <w:tab w:val="center" w:pos="590"/>
          <w:tab w:val="center" w:pos="1440"/>
          <w:tab w:val="left" w:pos="1872"/>
          <w:tab w:val="left" w:pos="9187"/>
        </w:tabs>
        <w:jc w:val="left"/>
      </w:pPr>
      <w:r w:rsidRPr="006D0527">
        <w:rPr>
          <w:b/>
        </w:rPr>
        <w:t>HISTORY OF LEGISLATIVE ACTIONS</w:t>
      </w:r>
    </w:p>
    <w:p w:rsidR="006D0527" w:rsidRDefault="006D0527" w:rsidP="006D0527">
      <w:pPr>
        <w:widowControl w:val="0"/>
        <w:tabs>
          <w:tab w:val="center" w:pos="590"/>
          <w:tab w:val="center" w:pos="1440"/>
          <w:tab w:val="left" w:pos="1872"/>
          <w:tab w:val="left" w:pos="9187"/>
        </w:tabs>
        <w:jc w:val="left"/>
      </w:pPr>
    </w:p>
    <w:p w:rsidR="006D0527" w:rsidRPr="006D0527" w:rsidRDefault="006D0527" w:rsidP="006D0527">
      <w:pPr>
        <w:widowControl w:val="0"/>
        <w:tabs>
          <w:tab w:val="center" w:pos="590"/>
          <w:tab w:val="center" w:pos="1440"/>
          <w:tab w:val="left" w:pos="1872"/>
          <w:tab w:val="left" w:pos="9187"/>
        </w:tabs>
        <w:jc w:val="left"/>
      </w:pPr>
      <w:r w:rsidRPr="006D0527">
        <w:rPr>
          <w:u w:val="single"/>
        </w:rPr>
        <w:tab/>
        <w:t>Date</w:t>
      </w:r>
      <w:r w:rsidRPr="006D0527">
        <w:rPr>
          <w:u w:val="single"/>
        </w:rPr>
        <w:tab/>
        <w:t>Body</w:t>
      </w:r>
      <w:r w:rsidRPr="006D0527">
        <w:rPr>
          <w:u w:val="single"/>
        </w:rPr>
        <w:tab/>
        <w:t>Action Description with journal page number</w:t>
      </w:r>
      <w:r w:rsidRPr="006D0527">
        <w:rPr>
          <w:u w:val="single"/>
        </w:rPr>
        <w:tab/>
      </w:r>
    </w:p>
    <w:p w:rsidR="0009606A" w:rsidRDefault="0009606A" w:rsidP="0009606A">
      <w:pPr>
        <w:widowControl w:val="0"/>
        <w:tabs>
          <w:tab w:val="right" w:pos="1008"/>
          <w:tab w:val="left" w:pos="1152"/>
          <w:tab w:val="left" w:pos="1872"/>
          <w:tab w:val="left" w:pos="9187"/>
        </w:tabs>
        <w:ind w:left="2088" w:hanging="2088"/>
        <w:jc w:val="left"/>
      </w:pPr>
      <w:r>
        <w:tab/>
        <w:t>1/31/2012</w:t>
      </w:r>
      <w:r>
        <w:tab/>
        <w:t>House</w:t>
      </w:r>
      <w:r>
        <w:tab/>
      </w:r>
      <w:r w:rsidRPr="002B59C0">
        <w:t>Introduced and read first time (</w:t>
      </w:r>
      <w:hyperlink r:id="rId7" w:history="1">
        <w:r w:rsidRPr="002B59C0">
          <w:rPr>
            <w:rStyle w:val="Hyperlink"/>
          </w:rPr>
          <w:t>House Journal</w:t>
        </w:r>
        <w:r w:rsidRPr="002B59C0">
          <w:rPr>
            <w:rStyle w:val="Hyperlink"/>
          </w:rPr>
          <w:noBreakHyphen/>
          <w:t>page 33</w:t>
        </w:r>
      </w:hyperlink>
      <w:r w:rsidRPr="002B59C0">
        <w:t>)</w:t>
      </w:r>
    </w:p>
    <w:p w:rsidR="0009606A" w:rsidRDefault="0009606A" w:rsidP="0009606A">
      <w:pPr>
        <w:widowControl w:val="0"/>
        <w:tabs>
          <w:tab w:val="right" w:pos="1008"/>
          <w:tab w:val="left" w:pos="1152"/>
          <w:tab w:val="left" w:pos="1872"/>
          <w:tab w:val="left" w:pos="9187"/>
        </w:tabs>
        <w:ind w:left="2088" w:hanging="2088"/>
        <w:jc w:val="left"/>
      </w:pPr>
      <w:r>
        <w:tab/>
        <w:t>1/31/2012</w:t>
      </w:r>
      <w:r>
        <w:tab/>
        <w:t>House</w:t>
      </w:r>
      <w:r>
        <w:tab/>
      </w:r>
      <w:r w:rsidRPr="002B59C0">
        <w:t xml:space="preserve">Referred to </w:t>
      </w:r>
      <w:r>
        <w:t xml:space="preserve">Committee on </w:t>
      </w:r>
      <w:r w:rsidRPr="002B59C0">
        <w:rPr>
          <w:b/>
        </w:rPr>
        <w:t>Medical, Military, Public and Municipal Affairs</w:t>
      </w:r>
      <w:r w:rsidRPr="002B59C0">
        <w:t xml:space="preserve"> (</w:t>
      </w:r>
      <w:hyperlink r:id="rId8" w:history="1">
        <w:r w:rsidRPr="002B59C0">
          <w:rPr>
            <w:rStyle w:val="Hyperlink"/>
          </w:rPr>
          <w:t>House Journal</w:t>
        </w:r>
        <w:r w:rsidRPr="002B59C0">
          <w:rPr>
            <w:rStyle w:val="Hyperlink"/>
          </w:rPr>
          <w:noBreakHyphen/>
          <w:t>page 33</w:t>
        </w:r>
      </w:hyperlink>
      <w:r w:rsidRPr="002B59C0">
        <w:t>)</w:t>
      </w:r>
    </w:p>
    <w:p w:rsidR="0009606A" w:rsidRDefault="0009606A" w:rsidP="0009606A">
      <w:pPr>
        <w:widowControl w:val="0"/>
        <w:tabs>
          <w:tab w:val="right" w:pos="1008"/>
          <w:tab w:val="left" w:pos="1152"/>
          <w:tab w:val="left" w:pos="1872"/>
          <w:tab w:val="left" w:pos="9187"/>
        </w:tabs>
        <w:ind w:left="2088" w:hanging="2088"/>
        <w:jc w:val="left"/>
      </w:pPr>
    </w:p>
    <w:p w:rsidR="006D0527" w:rsidRPr="006D0527" w:rsidRDefault="006D0527" w:rsidP="006D0527">
      <w:pPr>
        <w:widowControl w:val="0"/>
        <w:tabs>
          <w:tab w:val="right" w:pos="1008"/>
          <w:tab w:val="left" w:pos="1152"/>
          <w:tab w:val="left" w:pos="1872"/>
          <w:tab w:val="left" w:pos="9187"/>
        </w:tabs>
        <w:ind w:left="2088" w:hanging="2088"/>
        <w:jc w:val="left"/>
      </w:pPr>
    </w:p>
    <w:p w:rsidR="006D0527" w:rsidRDefault="006D0527" w:rsidP="006D0527">
      <w:pPr>
        <w:widowControl w:val="0"/>
        <w:jc w:val="left"/>
      </w:pPr>
      <w:r w:rsidRPr="006D0527">
        <w:rPr>
          <w:b/>
        </w:rPr>
        <w:t>VERSIONS OF THIS BILL</w:t>
      </w:r>
    </w:p>
    <w:p w:rsidR="006D0527" w:rsidRDefault="006D0527" w:rsidP="006D0527">
      <w:pPr>
        <w:widowControl w:val="0"/>
        <w:jc w:val="left"/>
      </w:pPr>
    </w:p>
    <w:p w:rsidR="006D0527" w:rsidRDefault="000E5D5B" w:rsidP="006D0527">
      <w:pPr>
        <w:widowControl w:val="0"/>
        <w:jc w:val="left"/>
      </w:pPr>
      <w:hyperlink r:id="rId9" w:history="1">
        <w:r w:rsidR="006D0527">
          <w:rPr>
            <w:rStyle w:val="Hyperlink"/>
          </w:rPr>
          <w:t>1/31/2012</w:t>
        </w:r>
      </w:hyperlink>
    </w:p>
    <w:p w:rsidR="006D0527" w:rsidRDefault="006D0527" w:rsidP="006D0527"/>
    <w:p w:rsidR="006D0527" w:rsidRDefault="006D0527" w:rsidP="006D0527">
      <w:pPr>
        <w:sectPr w:rsidR="006D0527" w:rsidSect="006D0527">
          <w:pgSz w:w="12240" w:h="15840" w:code="1"/>
          <w:pgMar w:top="1080" w:right="1440" w:bottom="1080" w:left="1440" w:header="720" w:footer="720" w:gutter="0"/>
          <w:cols w:space="720"/>
          <w:noEndnote/>
          <w:docGrid w:linePitch="360"/>
        </w:sectPr>
      </w:pPr>
    </w:p>
    <w:p w:rsidR="00346651" w:rsidRDefault="00346651" w:rsidP="001D7F4F">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8E5" w:rsidRDefault="00A0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8E5" w:rsidRDefault="00A0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8E5" w:rsidRDefault="00A0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8E5" w:rsidRDefault="00A0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B5" w:rsidRDefault="00BE4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37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w:t>
      </w:r>
      <w:r w:rsidR="008608CC">
        <w:t xml:space="preserve"> THE</w:t>
      </w:r>
      <w:r w:rsidR="00E74847">
        <w:t xml:space="preserve"> DEPARTMENT OF HEALTH AND HUMAN SERVICES,</w:t>
      </w:r>
      <w:r>
        <w:t xml:space="preserve"> PURSUANT TO THE DEPARTMENT</w:t>
      </w:r>
      <w:r w:rsidR="00346651" w:rsidRPr="00346651">
        <w:t>’</w:t>
      </w:r>
      <w:r w:rsidR="00E74847">
        <w:t>S</w:t>
      </w:r>
      <w:r>
        <w:t xml:space="preserve"> MEDICAID HOME AND COMMUNITY</w:t>
      </w:r>
      <w:r w:rsidR="00BF6624">
        <w:noBreakHyphen/>
      </w:r>
      <w:r>
        <w:t>BASED WAIVER</w:t>
      </w:r>
      <w:r w:rsidR="008608CC">
        <w:t>,</w:t>
      </w:r>
      <w:r>
        <w:t xml:space="preserve"> SHALL ISSUE PERSONAL EMERGENCY RESPONSE SYSTEM (PERS) DEVICES TO MEDICAID RECIPIENTS THAT INCLUDE A NURSE TRIAGE COMPONENT AND TO FURTHER SPECIFY REQUIREMENTS FOR </w:t>
      </w:r>
      <w:r w:rsidR="00E74847">
        <w:t>A</w:t>
      </w:r>
      <w:r>
        <w:t xml:space="preserve"> PERS DEVICE CONTAINING THE NURSE TRIAGE COMPONENT.</w:t>
      </w:r>
    </w:p>
    <w:p w:rsidR="007F3375" w:rsidRDefault="007F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Health and Human Services issues personal emergency response system (PERS) devices to select Medicaid recipients pursuant to a Medicaid Home and Community</w:t>
      </w:r>
      <w:r w:rsidR="00BF6624">
        <w:noBreakHyphen/>
      </w:r>
      <w:r>
        <w:t>based waiver;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current PERS device</w:t>
      </w:r>
      <w:r w:rsidR="008608CC">
        <w:t xml:space="preserve"> the department issues</w:t>
      </w:r>
      <w:r>
        <w:t xml:space="preserve"> provides recipients with twenty</w:t>
      </w:r>
      <w:r w:rsidR="00BF6624">
        <w:noBreakHyphen/>
      </w:r>
      <w:r>
        <w:t>four hour monitoring and live phone contact for emergencies;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PERS emergency response services are intended to respond to true emergency situations, it is not uncommon for </w:t>
      </w:r>
      <w:r w:rsidR="008608CC">
        <w:t>a recipient to be transported by</w:t>
      </w:r>
      <w:r>
        <w:t xml:space="preserve"> ambulance to a hospital emergency room</w:t>
      </w:r>
      <w:r w:rsidR="008608CC">
        <w:t xml:space="preserve"> for a nonemergency condition when an emergency response is the only available PERS option</w:t>
      </w:r>
      <w:r>
        <w:t>;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A37" w:rsidRDefault="00883A37" w:rsidP="0088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many times in our communities there are outbreaks of dangerous and highly contagious diseases and conditions and sending a Medicaid recipient to the emergency room for a nonemergency condition can potentially expose the recipient, who likely is a high health risk, to potentially life threatening conditions</w:t>
      </w:r>
      <w:r w:rsidR="00B7714F">
        <w:t xml:space="preserve"> and diseases</w:t>
      </w:r>
      <w:r>
        <w:t>.  Having the ability to assess nonemergency situations by having access to a nurse triage service is an invaluable health consideration for Medicaid recipients as well as for the State; and</w:t>
      </w:r>
    </w:p>
    <w:p w:rsidR="00883A37" w:rsidRDefault="00883A37" w:rsidP="0088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has been demonstrated that if a person </w:t>
      </w:r>
      <w:r w:rsidR="00DB696F">
        <w:t>is able</w:t>
      </w:r>
      <w:r>
        <w:t xml:space="preserve"> to speak with a health</w:t>
      </w:r>
      <w:r w:rsidR="00B7714F">
        <w:t xml:space="preserve"> </w:t>
      </w:r>
      <w:r>
        <w:t>care professional who can medically assess the</w:t>
      </w:r>
      <w:r w:rsidR="00DB696F">
        <w:t xml:space="preserve"> person</w:t>
      </w:r>
      <w:r w:rsidR="00346651" w:rsidRPr="00346651">
        <w:t>’</w:t>
      </w:r>
      <w:r w:rsidR="00DB696F">
        <w:t>s</w:t>
      </w:r>
      <w:r>
        <w:t xml:space="preserve"> situation and provide assistance, the person is less likely to</w:t>
      </w:r>
      <w:r w:rsidR="00DB696F">
        <w:t xml:space="preserve"> utilize</w:t>
      </w:r>
      <w:r>
        <w:t xml:space="preserve"> emergency room</w:t>
      </w:r>
      <w:r w:rsidR="00DB696F">
        <w:t xml:space="preserve"> care</w:t>
      </w:r>
      <w:r>
        <w:t xml:space="preserve"> and more likely to be able to manage a nonemergency situation in the home;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PERS devices provide twenty</w:t>
      </w:r>
      <w:r w:rsidR="00BF6624">
        <w:noBreakHyphen/>
      </w:r>
      <w:r>
        <w:t>four hour live phone access to experienced nursing personnel, comparable in cost to emergency response PERS devices, which allows a person to consult with a nurse about the person</w:t>
      </w:r>
      <w:r w:rsidR="00346651" w:rsidRPr="00346651">
        <w:t>’</w:t>
      </w:r>
      <w:r>
        <w:t>s medical concern, possible solutions, and available options, including in</w:t>
      </w:r>
      <w:r w:rsidR="00BF6624">
        <w:noBreakHyphen/>
      </w:r>
      <w:r>
        <w:t>home management of the situation, if appropriate, likely produc</w:t>
      </w:r>
      <w:r w:rsidR="00DB696F">
        <w:t>ing</w:t>
      </w:r>
      <w:r>
        <w:t xml:space="preserve"> a more efficient and effective result;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these difficult economic times, reducing costs and maximizing each dollar spent is not only prudent, but necessary;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requiring the Department of Health and Human Services, through its Medicaid Home and Community</w:t>
      </w:r>
      <w:r w:rsidR="00BF6624">
        <w:noBreakHyphen/>
      </w:r>
      <w:r>
        <w:t>based waiver, to</w:t>
      </w:r>
      <w:r w:rsidR="00BF6624">
        <w:t xml:space="preserve"> issu</w:t>
      </w:r>
      <w:r w:rsidR="00DB696F">
        <w:t>e</w:t>
      </w:r>
      <w:r>
        <w:t xml:space="preserve"> PERS devices that have the additional twenty</w:t>
      </w:r>
      <w:r w:rsidR="00BF6624">
        <w:noBreakHyphen/>
      </w:r>
      <w:r>
        <w:t xml:space="preserve">four hour nurse triage component would not increase the cost of </w:t>
      </w:r>
      <w:r w:rsidR="00DB696F">
        <w:t>issuing</w:t>
      </w:r>
      <w:r>
        <w:t xml:space="preserve"> a PERS device to Medicaid recipients, but could, in many instances, reduce costs by eliminating unnecessary and expensive ambulance transportation and emergency room care. Now, therefore,</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(A)(1)</w:t>
      </w:r>
      <w:r>
        <w:tab/>
        <w:t>The Department of Health and Human Services shall issue, pursuant to its Medicaid Home and Community</w:t>
      </w:r>
      <w:r w:rsidR="00BF6624">
        <w:noBreakHyphen/>
      </w:r>
      <w:r>
        <w:t>based waiver, Personal Emergency Response Systems (PERS) devices to Medicaid recipients that include, in addition to emergency response services, unlimited twenty</w:t>
      </w:r>
      <w:r w:rsidR="00BF6624">
        <w:noBreakHyphen/>
      </w:r>
      <w:r>
        <w:t>four hour, seven</w:t>
      </w:r>
      <w:r w:rsidR="00BF6624">
        <w:noBreakHyphen/>
      </w:r>
      <w:r>
        <w:t>day a week live phone contact with experienced registered nurses for triage services.</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 nurse triage call center must be accredited and must be separate from the</w:t>
      </w:r>
      <w:r w:rsidR="00DB696F">
        <w:t xml:space="preserve"> PERS</w:t>
      </w:r>
      <w:r>
        <w:t xml:space="preserve"> emergency response call center.</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 device, as provided for in subsection (A), must have a wireless radio transmitter and a console. The transmitter, which can be worn or carried by the recipient, must have two buttons, distinguished by size and color; one button for emergencies to contact the emergency response call center and one button to contact the nurse triage call center</w:t>
      </w:r>
      <w:r w:rsidR="00DB696F">
        <w:t xml:space="preserve"> for nonemergencies</w:t>
      </w:r>
      <w:r>
        <w:t>.</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 device that includes nurse triage services also must:</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comply with the requirements of Federal Communications Commission rules, 47 C</w:t>
      </w:r>
      <w:r w:rsidR="00B7714F">
        <w:t>.</w:t>
      </w:r>
      <w:r>
        <w:t>F</w:t>
      </w:r>
      <w:r w:rsidR="00B7714F">
        <w:t>.</w:t>
      </w:r>
      <w:r>
        <w:t>R</w:t>
      </w:r>
      <w:r w:rsidR="00B7714F">
        <w:t>.</w:t>
      </w:r>
      <w:r>
        <w:t xml:space="preserve"> Part 68;</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be Underwriters Laboratory or Equipment Testing Laboratories</w:t>
      </w:r>
      <w:r w:rsidR="00BF6624">
        <w:noBreakHyphen/>
      </w:r>
      <w:r>
        <w:t>approved as a health care signaling product;</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be registered with the Federal Drug Administration as a medical device under the classification of a powered environments control signaling product.</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 and applies to Personal Emergency Response System (PERS) devices initially issued by the Department of Health and Human Services to Medicaid recipients</w:t>
      </w:r>
      <w:r w:rsidR="008608CC">
        <w:t>,</w:t>
      </w:r>
      <w:r>
        <w:t xml:space="preserve"> pursuant to the department</w:t>
      </w:r>
      <w:r w:rsidR="00346651" w:rsidRPr="00346651">
        <w:t>’</w:t>
      </w:r>
      <w:r w:rsidR="008608CC">
        <w:t>s Medic</w:t>
      </w:r>
      <w:r>
        <w:t>aid Home and Community</w:t>
      </w:r>
      <w:r w:rsidR="00BF6624">
        <w:noBreakHyphen/>
      </w:r>
      <w:r>
        <w:t>based waiver</w:t>
      </w:r>
      <w:r w:rsidR="008608CC">
        <w:t>,</w:t>
      </w:r>
      <w:r>
        <w:t xml:space="preserve"> on or after this joint resolution</w:t>
      </w:r>
      <w:r w:rsidR="00346651" w:rsidRPr="00346651">
        <w:t>’</w:t>
      </w:r>
      <w:r>
        <w:t>s effective date and to Medicaid recipients for whom it is necessary to replace</w:t>
      </w:r>
      <w:r w:rsidR="008608CC">
        <w:t xml:space="preserve"> on or after this joint resolution</w:t>
      </w:r>
      <w:r w:rsidR="008608CC" w:rsidRPr="00346651">
        <w:t>’</w:t>
      </w:r>
      <w:r w:rsidR="008608CC">
        <w:t>s effective date</w:t>
      </w:r>
      <w:r>
        <w:t xml:space="preserve"> their previously issued PERS devices.</w:t>
      </w:r>
    </w:p>
    <w:p w:rsidR="002B12DD" w:rsidRDefault="00BF66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2DD" w:rsidRDefault="002B12DD" w:rsidP="006D0527">
      <w:pPr>
        <w:suppressAutoHyphens/>
      </w:pPr>
    </w:p>
    <w:sectPr w:rsidR="002B12DD" w:rsidSect="006D05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375" w:rsidRDefault="007F3375" w:rsidP="009F0C77">
      <w:r>
        <w:separator/>
      </w:r>
    </w:p>
  </w:endnote>
  <w:endnote w:type="continuationSeparator" w:id="0">
    <w:p w:rsidR="007F3375" w:rsidRDefault="007F33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CE88E6-30B5-4F37-99FC-ACDF39CBEA1F}"/>
    <w:embedBold r:id="rId2" w:fontKey="{3E488BCD-3CBD-4122-8689-505AF25A3A2F}"/>
  </w:font>
  <w:font w:name="Calibri">
    <w:panose1 w:val="020F0502020204030204"/>
    <w:charset w:val="00"/>
    <w:family w:val="swiss"/>
    <w:pitch w:val="variable"/>
    <w:sig w:usb0="E10002FF" w:usb1="4000ACFF" w:usb2="00000009" w:usb3="00000000" w:csb0="0000019F" w:csb1="00000000"/>
    <w:embedRegular r:id="rId3" w:fontKey="{C3F99BF9-1BF0-465E-B367-8CF74B38731A}"/>
  </w:font>
  <w:font w:name="Tahoma">
    <w:panose1 w:val="020B0604030504040204"/>
    <w:charset w:val="00"/>
    <w:family w:val="swiss"/>
    <w:pitch w:val="variable"/>
    <w:sig w:usb0="21002A87" w:usb1="80000000" w:usb2="00000008" w:usb3="00000000" w:csb0="000101FF" w:csb1="00000000"/>
    <w:embedRegular r:id="rId4" w:fontKey="{831BB625-4683-481F-8909-03422F9BA763}"/>
  </w:font>
  <w:font w:name="Cambria">
    <w:panose1 w:val="02040503050406030204"/>
    <w:charset w:val="00"/>
    <w:family w:val="roman"/>
    <w:pitch w:val="variable"/>
    <w:sig w:usb0="E00002FF" w:usb1="400004FF" w:usb2="00000000" w:usb3="00000000" w:csb0="0000019F" w:csb1="00000000"/>
    <w:embedRegular r:id="rId5" w:fontKey="{F7ED6B0F-5862-4C77-BF4F-96FBD94EF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527" w:rsidRPr="002B12DD" w:rsidRDefault="006D0527" w:rsidP="002B12DD">
    <w:pPr>
      <w:pStyle w:val="Footer"/>
      <w:tabs>
        <w:tab w:val="clear" w:pos="4680"/>
        <w:tab w:val="clear" w:pos="9360"/>
        <w:tab w:val="center" w:pos="2995"/>
      </w:tabs>
      <w:spacing w:before="120"/>
    </w:pPr>
    <w:r>
      <w:t>[4707]</w:t>
    </w:r>
    <w:r>
      <w:tab/>
    </w:r>
    <w:r w:rsidR="000E5D5B">
      <w:fldChar w:fldCharType="begin"/>
    </w:r>
    <w:r w:rsidR="000E5D5B">
      <w:instrText xml:space="preserve"> PAGE  \* MERGEFORMAT </w:instrText>
    </w:r>
    <w:r w:rsidR="000E5D5B">
      <w:fldChar w:fldCharType="separate"/>
    </w:r>
    <w:r w:rsidR="000E5D5B">
      <w:rPr>
        <w:noProof/>
      </w:rPr>
      <w:t>1</w:t>
    </w:r>
    <w:r w:rsidR="000E5D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375" w:rsidRDefault="007F3375" w:rsidP="009F0C77">
      <w:r>
        <w:separator/>
      </w:r>
    </w:p>
  </w:footnote>
  <w:footnote w:type="continuationSeparator" w:id="0">
    <w:p w:rsidR="007F3375" w:rsidRDefault="007F33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50ac12"/>
    <w:docVar w:name="CoverBillType" w:val="j"/>
    <w:docVar w:name="docpath" w:val="L:\Council\bills\NBD\12050ac12.DOCX"/>
    <w:docVar w:name="dvBillNumber" w:val="4707"/>
    <w:docVar w:name="dvBillNumberPrefix" w:val="H. "/>
    <w:docVar w:name="dvOriginalBody" w:val="House"/>
    <w:docVar w:name="dvSteno" w:val="NBD"/>
    <w:docVar w:name="NameofBody" w:val="h"/>
    <w:docVar w:name="vgroup2" w:val="Council"/>
  </w:docVars>
  <w:rsids>
    <w:rsidRoot w:val="00A17DD8"/>
    <w:rsid w:val="00011869"/>
    <w:rsid w:val="0009606A"/>
    <w:rsid w:val="000E1785"/>
    <w:rsid w:val="000E5D5B"/>
    <w:rsid w:val="000F40FA"/>
    <w:rsid w:val="0010776B"/>
    <w:rsid w:val="00133E66"/>
    <w:rsid w:val="001435A3"/>
    <w:rsid w:val="001D08F2"/>
    <w:rsid w:val="001D525B"/>
    <w:rsid w:val="001D7F4F"/>
    <w:rsid w:val="002321B6"/>
    <w:rsid w:val="00237F51"/>
    <w:rsid w:val="00250967"/>
    <w:rsid w:val="002543C8"/>
    <w:rsid w:val="00284AAE"/>
    <w:rsid w:val="002B12DD"/>
    <w:rsid w:val="002B74BE"/>
    <w:rsid w:val="002E5912"/>
    <w:rsid w:val="00325348"/>
    <w:rsid w:val="0032732C"/>
    <w:rsid w:val="00336AD0"/>
    <w:rsid w:val="003434CA"/>
    <w:rsid w:val="00346651"/>
    <w:rsid w:val="0037079A"/>
    <w:rsid w:val="003D01E8"/>
    <w:rsid w:val="003E1CF1"/>
    <w:rsid w:val="003E4CE0"/>
    <w:rsid w:val="003E5288"/>
    <w:rsid w:val="003F6D79"/>
    <w:rsid w:val="0041760A"/>
    <w:rsid w:val="00417C01"/>
    <w:rsid w:val="004809EE"/>
    <w:rsid w:val="004E7D54"/>
    <w:rsid w:val="005273C6"/>
    <w:rsid w:val="00530A69"/>
    <w:rsid w:val="00545593"/>
    <w:rsid w:val="00560916"/>
    <w:rsid w:val="00577C6C"/>
    <w:rsid w:val="005C2FE2"/>
    <w:rsid w:val="005C38B7"/>
    <w:rsid w:val="005E2BC9"/>
    <w:rsid w:val="00605102"/>
    <w:rsid w:val="006215AA"/>
    <w:rsid w:val="00646C09"/>
    <w:rsid w:val="006913C9"/>
    <w:rsid w:val="0069470D"/>
    <w:rsid w:val="006D0527"/>
    <w:rsid w:val="00734F00"/>
    <w:rsid w:val="007A2D0D"/>
    <w:rsid w:val="007A70AE"/>
    <w:rsid w:val="007F3375"/>
    <w:rsid w:val="00827C45"/>
    <w:rsid w:val="008362E8"/>
    <w:rsid w:val="008608CC"/>
    <w:rsid w:val="00883A37"/>
    <w:rsid w:val="008A1768"/>
    <w:rsid w:val="008F4429"/>
    <w:rsid w:val="00923239"/>
    <w:rsid w:val="0094021A"/>
    <w:rsid w:val="009C6A0B"/>
    <w:rsid w:val="009F0C77"/>
    <w:rsid w:val="009F4DD1"/>
    <w:rsid w:val="00A068E5"/>
    <w:rsid w:val="00A1078C"/>
    <w:rsid w:val="00A17DD8"/>
    <w:rsid w:val="00A41684"/>
    <w:rsid w:val="00A64E80"/>
    <w:rsid w:val="00A72BCD"/>
    <w:rsid w:val="00A741D9"/>
    <w:rsid w:val="00A833AB"/>
    <w:rsid w:val="00A9741D"/>
    <w:rsid w:val="00AD4B17"/>
    <w:rsid w:val="00AE2254"/>
    <w:rsid w:val="00B31C8C"/>
    <w:rsid w:val="00B412D4"/>
    <w:rsid w:val="00B50B5E"/>
    <w:rsid w:val="00B7714F"/>
    <w:rsid w:val="00BE3C22"/>
    <w:rsid w:val="00BE44B5"/>
    <w:rsid w:val="00BF6624"/>
    <w:rsid w:val="00C0345E"/>
    <w:rsid w:val="00C3483A"/>
    <w:rsid w:val="00C53D25"/>
    <w:rsid w:val="00C74E9D"/>
    <w:rsid w:val="00C82FD3"/>
    <w:rsid w:val="00C92819"/>
    <w:rsid w:val="00CC6B7B"/>
    <w:rsid w:val="00CD2089"/>
    <w:rsid w:val="00D052E5"/>
    <w:rsid w:val="00D35EAF"/>
    <w:rsid w:val="00D73A67"/>
    <w:rsid w:val="00D970A9"/>
    <w:rsid w:val="00DB696F"/>
    <w:rsid w:val="00DF3845"/>
    <w:rsid w:val="00DF47B9"/>
    <w:rsid w:val="00E41911"/>
    <w:rsid w:val="00E55A86"/>
    <w:rsid w:val="00E74847"/>
    <w:rsid w:val="00E92EEF"/>
    <w:rsid w:val="00EB6F77"/>
    <w:rsid w:val="00F24442"/>
    <w:rsid w:val="00F50AE3"/>
    <w:rsid w:val="00F67CF1"/>
    <w:rsid w:val="00F840F0"/>
    <w:rsid w:val="00FB069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AC2697-9A7C-4211-89DB-E704073F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714F"/>
    <w:rPr>
      <w:rFonts w:ascii="Tahoma" w:hAnsi="Tahoma" w:cs="Tahoma"/>
      <w:sz w:val="16"/>
      <w:szCs w:val="16"/>
    </w:rPr>
  </w:style>
  <w:style w:type="character" w:customStyle="1" w:styleId="BalloonTextChar">
    <w:name w:val="Balloon Text Char"/>
    <w:basedOn w:val="DefaultParagraphFont"/>
    <w:link w:val="BalloonText"/>
    <w:uiPriority w:val="99"/>
    <w:semiHidden/>
    <w:rsid w:val="00B7714F"/>
    <w:rPr>
      <w:rFonts w:ascii="Tahoma" w:eastAsia="Times New Roman" w:hAnsi="Tahoma" w:cs="Tahoma"/>
      <w:sz w:val="16"/>
      <w:szCs w:val="16"/>
    </w:rPr>
  </w:style>
  <w:style w:type="character" w:styleId="Hyperlink">
    <w:name w:val="Hyperlink"/>
    <w:basedOn w:val="DefaultParagraphFont"/>
    <w:uiPriority w:val="99"/>
    <w:unhideWhenUsed/>
    <w:rsid w:val="006D05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31-12.docx" TargetMode="External"/><Relationship Id="rId3" Type="http://schemas.openxmlformats.org/officeDocument/2006/relationships/settings" Target="settings.xml"/><Relationship Id="rId7" Type="http://schemas.openxmlformats.org/officeDocument/2006/relationships/hyperlink" Target="file:///h:\hj%20archive\2012\01-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07_2012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C1039-2D5D-4D32-AE55-A97C1CA3C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805</Words>
  <Characters>4641</Characters>
  <Application>Microsoft Office Word</Application>
  <DocSecurity>4</DocSecurity>
  <Lines>136</Lines>
  <Paragraphs>36</Paragraphs>
  <ScaleCrop>false</ScaleCrop>
  <Company> </Company>
  <LinksUpToDate>false</LinksUpToDate>
  <CharactersWithSpaces>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4707: Medicaid to issue personal emergency response system devices - South Carolina Legislature Online</dc:title>
  <dc:subject/>
  <dc:creator>NikiDowney</dc:creator>
  <cp:keywords/>
  <dc:description/>
  <cp:lastModifiedBy>N Cumfer</cp:lastModifiedBy>
  <cp:revision>2</cp:revision>
  <cp:lastPrinted>2012-01-25T20:19:00Z</cp:lastPrinted>
  <dcterms:created xsi:type="dcterms:W3CDTF">2014-11-24T14:42:00Z</dcterms:created>
  <dcterms:modified xsi:type="dcterms:W3CDTF">2014-11-24T14:42:00Z</dcterms:modified>
</cp:coreProperties>
</file>