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47000" w:rsidRP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080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647000" w:rsidRDefault="00080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w:t>
      </w:r>
      <w:r w:rsidR="00647000">
        <w:rPr>
          <w:rFonts w:eastAsia="Times New Roman"/>
        </w:rPr>
        <w:t>, 2012</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Pr="00647000" w:rsidRDefault="00647000" w:rsidP="00647000">
      <w:pPr>
        <w:tabs>
          <w:tab w:val="right" w:pos="5933"/>
        </w:tabs>
        <w:suppressAutoHyphens/>
        <w:jc w:val="both"/>
        <w:rPr>
          <w:rFonts w:eastAsia="Times New Roman"/>
        </w:rPr>
      </w:pPr>
      <w:r>
        <w:rPr>
          <w:rFonts w:eastAsia="Times New Roman"/>
        </w:rPr>
        <w:tab/>
      </w:r>
      <w:r>
        <w:rPr>
          <w:rFonts w:eastAsia="Times New Roman"/>
          <w:b/>
          <w:sz w:val="36"/>
        </w:rPr>
        <w:t>S. 1125</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Bryant, S. Martin, Thomas, Gregory, Knotts, Campbell, Rose, Cromer, Fair, Campsen, Grooms and Peeler</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080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3/28</w:t>
      </w:r>
      <w:r w:rsidR="00647000">
        <w:rPr>
          <w:rFonts w:eastAsia="Times New Roman"/>
        </w:rPr>
        <w:t>/12--S.</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2012.</w:t>
      </w:r>
    </w:p>
    <w:p w:rsidR="00647000" w:rsidRP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P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000" w:rsidSect="006470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0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7E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5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9047F3">
        <w:rPr>
          <w:rFonts w:eastAsia="Times New Roman"/>
        </w:rPr>
        <w:noBreakHyphen/>
      </w:r>
      <w:r>
        <w:rPr>
          <w:rFonts w:eastAsia="Times New Roman"/>
        </w:rPr>
        <w:t>35</w:t>
      </w:r>
      <w:r w:rsidR="009047F3">
        <w:rPr>
          <w:rFonts w:eastAsia="Times New Roman"/>
        </w:rPr>
        <w:noBreakHyphen/>
      </w:r>
      <w:r>
        <w:rPr>
          <w:rFonts w:eastAsia="Times New Roman"/>
        </w:rPr>
        <w:t>120</w:t>
      </w:r>
      <w:r w:rsidR="00D17FED">
        <w:rPr>
          <w:rFonts w:eastAsia="Times New Roman"/>
        </w:rPr>
        <w:t xml:space="preserve"> </w:t>
      </w:r>
      <w:r>
        <w:rPr>
          <w:rFonts w:eastAsia="Times New Roman"/>
        </w:rPr>
        <w:t>OF THE 1976 CODE, RELATING TO DISQUALIFICATION FOR UNEMPLOYMENT BENEFITS, TO PROVIDE THAT A PERSON DISCHARGED FROM EMPLOYMENT FOR CAUSE</w:t>
      </w:r>
      <w:r w:rsidR="009047F3">
        <w:rPr>
          <w:rFonts w:eastAsia="Times New Roman"/>
        </w:rPr>
        <w:t xml:space="preserve"> </w:t>
      </w:r>
      <w:r>
        <w:rPr>
          <w:rFonts w:eastAsia="Times New Roman"/>
        </w:rPr>
        <w:t>IS INELIGIBLE FOR BENEFITS FOR TWENTY WEEKS BEGINNING WITH THE DATE THE PERSON FILED A BENEFITS REQUEST.</w:t>
      </w:r>
    </w:p>
    <w:p w:rsidR="00080D34" w:rsidRDefault="00080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87E78" w:rsidRDefault="00587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Be it enacted by the General Assembly of the State of South Carolina:</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t>1.</w:t>
      </w:r>
      <w:r w:rsidRPr="002733CB">
        <w:rPr>
          <w:color w:val="000000" w:themeColor="text1"/>
          <w:u w:color="000000" w:themeColor="text1"/>
        </w:rPr>
        <w:tab/>
        <w:t>Section 41</w:t>
      </w:r>
      <w:r>
        <w:rPr>
          <w:color w:val="000000" w:themeColor="text1"/>
          <w:u w:color="000000" w:themeColor="text1"/>
        </w:rPr>
        <w:noBreakHyphen/>
      </w:r>
      <w:r w:rsidRPr="002733CB">
        <w:rPr>
          <w:color w:val="000000" w:themeColor="text1"/>
          <w:u w:color="000000" w:themeColor="text1"/>
        </w:rPr>
        <w:t>35</w:t>
      </w:r>
      <w:r>
        <w:rPr>
          <w:color w:val="000000" w:themeColor="text1"/>
          <w:u w:color="000000" w:themeColor="text1"/>
        </w:rPr>
        <w:noBreakHyphen/>
      </w:r>
      <w:r w:rsidRPr="002733CB">
        <w:rPr>
          <w:color w:val="000000" w:themeColor="text1"/>
          <w:u w:color="000000" w:themeColor="text1"/>
        </w:rPr>
        <w:t>120(2) of the 1976 Code is amended to read:</w:t>
      </w:r>
    </w:p>
    <w:p w:rsidR="00080D34"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ab/>
      </w:r>
      <w:r w:rsidRPr="000309DF">
        <w:rPr>
          <w:rFonts w:eastAsia="Times New Roman"/>
          <w:snapToGrid w:val="0"/>
          <w:szCs w:val="20"/>
        </w:rPr>
        <w:t>“</w:t>
      </w:r>
      <w:r w:rsidRPr="000309DF">
        <w:rPr>
          <w:u w:color="000000" w:themeColor="text1"/>
        </w:rPr>
        <w:t>(2)</w:t>
      </w:r>
      <w:r w:rsidRPr="000309DF">
        <w:rPr>
          <w:u w:color="000000" w:themeColor="text1"/>
        </w:rPr>
        <w:tab/>
        <w:t xml:space="preserve">Discharge for </w:t>
      </w:r>
      <w:r w:rsidRPr="000309DF">
        <w:rPr>
          <w:strike/>
          <w:u w:color="000000" w:themeColor="text1"/>
        </w:rPr>
        <w:t>cause</w:t>
      </w:r>
      <w:r w:rsidRPr="000309DF">
        <w:rPr>
          <w:u w:color="000000" w:themeColor="text1"/>
        </w:rPr>
        <w:t xml:space="preserve"> </w:t>
      </w:r>
      <w:r w:rsidRPr="000309DF">
        <w:rPr>
          <w:u w:val="single" w:color="000000" w:themeColor="text1"/>
        </w:rPr>
        <w:t>misconduct</w:t>
      </w:r>
      <w:r w:rsidRPr="000309DF">
        <w:rPr>
          <w:u w:color="000000" w:themeColor="text1"/>
        </w:rPr>
        <w:t xml:space="preserve"> connected with the employment.  If the department finds that he has been discharged for </w:t>
      </w:r>
      <w:r w:rsidRPr="000309DF">
        <w:rPr>
          <w:strike/>
          <w:u w:color="000000" w:themeColor="text1"/>
        </w:rPr>
        <w:t>cause</w:t>
      </w:r>
      <w:r w:rsidRPr="000309DF">
        <w:rPr>
          <w:u w:color="000000" w:themeColor="text1"/>
        </w:rPr>
        <w:t xml:space="preserve"> </w:t>
      </w:r>
      <w:r w:rsidRPr="000309DF">
        <w:rPr>
          <w:u w:val="single" w:color="000000" w:themeColor="text1"/>
        </w:rPr>
        <w:t>misconduct</w:t>
      </w:r>
      <w:r w:rsidRPr="000309DF">
        <w:rPr>
          <w:u w:color="000000" w:themeColor="text1"/>
        </w:rPr>
        <w:t xml:space="preserve"> 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0309DF">
        <w:rPr>
          <w:strike/>
          <w:u w:color="000000" w:themeColor="text1"/>
        </w:rPr>
        <w:t>not less than five nor more than</w:t>
      </w:r>
      <w:r w:rsidRPr="0004303B">
        <w:rPr>
          <w:strike/>
          <w:u w:color="000000" w:themeColor="text1"/>
        </w:rPr>
        <w:t xml:space="preserve"> the next</w:t>
      </w:r>
      <w:r w:rsidRPr="007122DD">
        <w:rPr>
          <w:u w:color="000000" w:themeColor="text1"/>
        </w:rPr>
        <w:t xml:space="preserve"> twenty</w:t>
      </w:r>
      <w:r w:rsidRPr="007122DD">
        <w:rPr>
          <w:strike/>
          <w:u w:color="000000" w:themeColor="text1"/>
        </w:rPr>
        <w:noBreakHyphen/>
      </w:r>
      <w:r w:rsidRPr="0004303B">
        <w:rPr>
          <w:strike/>
          <w:u w:color="000000" w:themeColor="text1"/>
        </w:rPr>
        <w:t>six</w:t>
      </w:r>
      <w:r w:rsidRPr="007122DD">
        <w:rPr>
          <w:u w:color="000000" w:themeColor="text1"/>
        </w:rPr>
        <w:t xml:space="preserve"> weeks</w:t>
      </w:r>
      <w:r w:rsidRPr="0004303B">
        <w:rPr>
          <w:strike/>
          <w:u w:color="000000" w:themeColor="text1"/>
        </w:rPr>
        <w:t>,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w:t>
      </w:r>
      <w:r w:rsidRPr="007122DD">
        <w:rPr>
          <w:u w:color="000000" w:themeColor="text1"/>
        </w:rPr>
        <w:t>.</w:t>
      </w:r>
      <w:r w:rsidRPr="000309DF">
        <w:rPr>
          <w:u w:color="000000" w:themeColor="text1"/>
        </w:rPr>
        <w:t xml:space="preserve"> A </w:t>
      </w:r>
      <w:r w:rsidRPr="000309DF">
        <w:rPr>
          <w:strike/>
          <w:u w:color="000000" w:themeColor="text1"/>
        </w:rPr>
        <w:t>charge</w:t>
      </w:r>
      <w:r w:rsidRPr="000309DF">
        <w:rPr>
          <w:u w:color="000000" w:themeColor="text1"/>
        </w:rPr>
        <w:t xml:space="preserve"> </w:t>
      </w:r>
      <w:r w:rsidRPr="000309DF">
        <w:rPr>
          <w:u w:val="single" w:color="000000" w:themeColor="text1"/>
        </w:rPr>
        <w:t>finding</w:t>
      </w:r>
      <w:r w:rsidRPr="000309DF">
        <w:rPr>
          <w:u w:color="000000" w:themeColor="text1"/>
        </w:rPr>
        <w:t xml:space="preserve"> of discharge for </w:t>
      </w:r>
      <w:r w:rsidRPr="000309DF">
        <w:rPr>
          <w:strike/>
          <w:u w:color="000000" w:themeColor="text1"/>
        </w:rPr>
        <w:t>cause connected with the employment</w:t>
      </w:r>
      <w:r w:rsidRPr="000309DF">
        <w:rPr>
          <w:u w:color="000000" w:themeColor="text1"/>
        </w:rPr>
        <w:t xml:space="preserve"> </w:t>
      </w:r>
      <w:r w:rsidRPr="000309DF">
        <w:rPr>
          <w:u w:val="single" w:color="000000" w:themeColor="text1"/>
        </w:rPr>
        <w:t>misconduct</w:t>
      </w:r>
      <w:r w:rsidRPr="000309DF">
        <w:rPr>
          <w:u w:color="000000" w:themeColor="text1"/>
        </w:rPr>
        <w:t xml:space="preserve"> may not be made for </w:t>
      </w:r>
      <w:r w:rsidRPr="000309DF">
        <w:rPr>
          <w:strike/>
          <w:u w:color="000000" w:themeColor="text1"/>
        </w:rPr>
        <w:t>failure to meet production requirements unless the failure is occasioned by wilful failure or neglect of duty</w:t>
      </w:r>
      <w:r w:rsidRPr="000309DF">
        <w:rPr>
          <w:u w:color="000000" w:themeColor="text1"/>
        </w:rPr>
        <w:t xml:space="preserve"> </w:t>
      </w:r>
      <w:r w:rsidRPr="000309DF">
        <w:rPr>
          <w:u w:val="single" w:color="000000" w:themeColor="text1"/>
        </w:rPr>
        <w:t xml:space="preserve">discharge resulting from circumstances related to an extreme </w:t>
      </w:r>
      <w:r w:rsidRPr="000309DF">
        <w:rPr>
          <w:u w:val="single" w:color="000000" w:themeColor="text1"/>
        </w:rPr>
        <w:lastRenderedPageBreak/>
        <w:t xml:space="preserve">hardship, emergency, </w:t>
      </w:r>
      <w:r>
        <w:rPr>
          <w:u w:val="single" w:color="000000" w:themeColor="text1"/>
        </w:rPr>
        <w:t xml:space="preserve">sickness, </w:t>
      </w:r>
      <w:r w:rsidRPr="000309DF">
        <w:rPr>
          <w:u w:val="single" w:color="000000" w:themeColor="text1"/>
        </w:rPr>
        <w:t>or other extraordinary circumstance</w:t>
      </w:r>
      <w:r w:rsidRPr="000309DF">
        <w:rPr>
          <w:u w:color="000000" w:themeColor="text1"/>
        </w:rPr>
        <w:t xml:space="preserve">. </w:t>
      </w:r>
      <w:r w:rsidRPr="00614CF4">
        <w:rPr>
          <w:strike/>
          <w:u w:color="000000" w:themeColor="text1"/>
        </w:rPr>
        <w:t>‘Cause connected</w:t>
      </w:r>
      <w:r w:rsidRPr="00614CF4">
        <w:rPr>
          <w:strike/>
          <w:color w:val="000000" w:themeColor="text1"/>
          <w:u w:color="000000" w:themeColor="text1"/>
        </w:rPr>
        <w:t xml:space="preserve"> with the employment’ as used in this item requires more than a failure in good performance of the employee as the result of inability or incapacity.</w:t>
      </w:r>
      <w:r>
        <w:rPr>
          <w:color w:val="000000" w:themeColor="text1"/>
          <w:u w:color="000000" w:themeColor="text1"/>
        </w:rPr>
        <w:t xml:space="preserve">  </w:t>
      </w:r>
      <w:r>
        <w:rPr>
          <w:u w:color="000000" w:themeColor="text1"/>
        </w:rPr>
        <w:t xml:space="preserve"> </w:t>
      </w:r>
      <w:r>
        <w:rPr>
          <w:u w:val="single"/>
        </w:rPr>
        <w:t>For the purposes of this item, ‘misconduct’ is limited to conduct evincing such wilfull 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However, mere inefficiency, unsatisfactory conduct, failure in good performance as the result of inability or incapacity, inadvertencies, or ordinary negligence in isolated instances, or good-faith errors in judgment or discretion are not misconduct for the purposes of this item.</w:t>
      </w:r>
      <w:r w:rsidRPr="002733CB">
        <w:rPr>
          <w:color w:val="000000" w:themeColor="text1"/>
          <w:u w:color="000000" w:themeColor="text1"/>
        </w:rPr>
        <w:t>”</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41-35-130 is amended by adding a new subsection to read:</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“(M)(1)</w:t>
      </w:r>
      <w:r>
        <w:rPr>
          <w:color w:val="000000"/>
        </w:rPr>
        <w:tab/>
        <w:t xml:space="preserve">For the purposes of this subsection, </w:t>
      </w:r>
      <w:r w:rsidRPr="009E6671">
        <w:rPr>
          <w:color w:val="000000"/>
        </w:rPr>
        <w:t xml:space="preserve">‘most recent bona fide employer’ means the work or employer from which </w:t>
      </w:r>
      <w:r>
        <w:rPr>
          <w:color w:val="000000"/>
        </w:rPr>
        <w:t>an</w:t>
      </w:r>
      <w:r w:rsidRPr="009E6671">
        <w:rPr>
          <w:color w:val="000000"/>
        </w:rPr>
        <w:t xml:space="preserve"> individual was discharged regardless of work subsequent to his discharge in which he earned less than eight times his weekly benefit amount.</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3D2077">
        <w:rPr>
          <w:color w:val="000000"/>
        </w:rPr>
        <w:t>A benefit paid to a claimant must not be charged against the account of an employer</w:t>
      </w:r>
      <w:r>
        <w:rPr>
          <w:color w:val="000000"/>
        </w:rPr>
        <w:t xml:space="preserve"> </w:t>
      </w:r>
      <w:r w:rsidRPr="003D2077">
        <w:rPr>
          <w:color w:val="000000"/>
        </w:rPr>
        <w:t xml:space="preserve">if the department determines that the </w:t>
      </w:r>
      <w:r>
        <w:rPr>
          <w:color w:val="000000"/>
        </w:rPr>
        <w:t xml:space="preserve">claimant’s </w:t>
      </w:r>
      <w:r w:rsidRPr="009E6671">
        <w:rPr>
          <w:color w:val="000000"/>
        </w:rPr>
        <w:t>most recent bona fide employer</w:t>
      </w:r>
      <w:r>
        <w:rPr>
          <w:color w:val="000000"/>
        </w:rPr>
        <w:t xml:space="preserve"> </w:t>
      </w:r>
      <w:r w:rsidRPr="009E6671">
        <w:rPr>
          <w:color w:val="000000"/>
        </w:rPr>
        <w:t xml:space="preserve">discharged </w:t>
      </w:r>
      <w:r>
        <w:rPr>
          <w:color w:val="000000"/>
        </w:rPr>
        <w:t xml:space="preserve">him </w:t>
      </w:r>
      <w:r w:rsidRPr="009E6671">
        <w:rPr>
          <w:color w:val="000000"/>
        </w:rPr>
        <w:t>for misconduct connected with his employment</w:t>
      </w:r>
      <w:r>
        <w:rPr>
          <w:color w:val="000000"/>
        </w:rPr>
        <w:t>.”</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41-41-40 of the 1976 Code is amended by adding a new subsection to read:</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Upon the determination of fraudulent overpayments by the department, an employer from whose account the overpayment was debited must be credited for the amount of the overpayment regardless of the outcome of the action for recoupment or recovery of the overpayment.”</w:t>
      </w:r>
    </w:p>
    <w:p w:rsidR="00080D34"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7FED"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r>
      <w:r>
        <w:rPr>
          <w:color w:val="000000" w:themeColor="text1"/>
          <w:u w:color="000000" w:themeColor="text1"/>
        </w:rPr>
        <w:t>4</w:t>
      </w:r>
      <w:r w:rsidRPr="002733CB">
        <w:rPr>
          <w:color w:val="000000" w:themeColor="text1"/>
          <w:u w:color="000000" w:themeColor="text1"/>
        </w:rPr>
        <w:t>.</w:t>
      </w:r>
      <w:r w:rsidRPr="002733CB">
        <w:rPr>
          <w:color w:val="000000" w:themeColor="text1"/>
          <w:u w:color="000000" w:themeColor="text1"/>
        </w:rPr>
        <w:tab/>
        <w:t>This act takes effect upon approval by the Governor.</w:t>
      </w:r>
    </w:p>
    <w:p w:rsidR="003109D1" w:rsidRDefault="009047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09D1" w:rsidRDefault="003109D1" w:rsidP="005F0968">
      <w:pPr>
        <w:suppressAutoHyphens/>
        <w:jc w:val="both"/>
        <w:rPr>
          <w:rFonts w:eastAsia="Times New Roman"/>
        </w:rPr>
      </w:pPr>
    </w:p>
    <w:sectPr w:rsidR="003109D1" w:rsidSect="006470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E78" w:rsidRDefault="00587E78" w:rsidP="00522CE0">
      <w:r>
        <w:separator/>
      </w:r>
    </w:p>
  </w:endnote>
  <w:endnote w:type="continuationSeparator" w:id="0">
    <w:p w:rsidR="00587E78" w:rsidRDefault="00587E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595EC0-9405-4617-9ED8-A2614C9D213C}"/>
    <w:embedBold r:id="rId2" w:fontKey="{04B9093D-47B8-43DD-AF48-5506638B072A}"/>
  </w:font>
  <w:font w:name="Calibri">
    <w:panose1 w:val="020F0502020204030204"/>
    <w:charset w:val="00"/>
    <w:family w:val="swiss"/>
    <w:pitch w:val="variable"/>
    <w:sig w:usb0="A00002EF" w:usb1="4000207B" w:usb2="00000000" w:usb3="00000000" w:csb0="0000009F" w:csb1="00000000"/>
    <w:embedRegular r:id="rId3" w:fontKey="{4744E204-9163-41B0-A51D-292E34A01513}"/>
  </w:font>
  <w:font w:name="Cambria">
    <w:panose1 w:val="02040503050406030204"/>
    <w:charset w:val="00"/>
    <w:family w:val="roman"/>
    <w:pitch w:val="variable"/>
    <w:sig w:usb0="A00002EF" w:usb1="4000004B" w:usb2="00000000" w:usb3="00000000" w:csb0="0000009F" w:csb1="00000000"/>
    <w:embedRegular r:id="rId4" w:fontKey="{9CE92543-7383-4F22-9ADB-E8348A1C1A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1B" w:rsidRPr="003109D1" w:rsidRDefault="003109D1" w:rsidP="003109D1">
    <w:pPr>
      <w:pStyle w:val="Footer"/>
      <w:tabs>
        <w:tab w:val="clear" w:pos="4680"/>
        <w:tab w:val="clear" w:pos="9360"/>
        <w:tab w:val="center" w:pos="2995"/>
      </w:tabs>
      <w:spacing w:before="120"/>
    </w:pPr>
    <w:r>
      <w:t>[1125</w:t>
    </w:r>
    <w:r w:rsidR="00647000">
      <w:t>-</w:t>
    </w:r>
    <w:fldSimple w:instr=" PAGE  \* MERGEFORMAT ">
      <w:r w:rsidR="005F0968">
        <w:rPr>
          <w:noProof/>
        </w:rPr>
        <w:t>1</w:t>
      </w:r>
    </w:fldSimple>
    <w:r w:rsidR="006470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00" w:rsidRPr="003109D1" w:rsidRDefault="00647000" w:rsidP="003109D1">
    <w:pPr>
      <w:pStyle w:val="Footer"/>
      <w:tabs>
        <w:tab w:val="clear" w:pos="4680"/>
        <w:tab w:val="clear" w:pos="9360"/>
        <w:tab w:val="center" w:pos="2995"/>
      </w:tabs>
      <w:spacing w:before="120"/>
    </w:pPr>
    <w:r>
      <w:t>[1125]</w:t>
    </w:r>
    <w:r>
      <w:tab/>
    </w:r>
    <w:fldSimple w:instr=" PAGE  \* MERGEFORMAT ">
      <w:r w:rsidR="005F09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E78" w:rsidRDefault="00587E78" w:rsidP="00522CE0">
      <w:r>
        <w:separator/>
      </w:r>
    </w:p>
  </w:footnote>
  <w:footnote w:type="continuationSeparator" w:id="0">
    <w:p w:rsidR="00587E78" w:rsidRDefault="00587E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FORC.KMM.LB"/>
    <w:docVar w:name="CoverAttorneyInitials" w:val="KMM"/>
    <w:docVar w:name="CoverAttorneyLastName" w:val="Moffitt"/>
    <w:docVar w:name="CoverBillType" w:val="b"/>
    <w:docVar w:name="CoverSenator" w:val="LB"/>
    <w:docVar w:name="dvBillNumber" w:val="1125"/>
    <w:docVar w:name="dvBillNumberPrefix" w:val="S. "/>
    <w:docVar w:name="dvOriginalBody" w:val="Senate"/>
    <w:docVar w:name="fulldraftpath" w:val="L:\S-RES\LB\003FORC.KMM.LB.DOCX"/>
    <w:docVar w:name="NameofBody" w:val="S"/>
    <w:docVar w:name="vgroup2" w:val="S-RES"/>
  </w:docVars>
  <w:rsids>
    <w:rsidRoot w:val="00524049"/>
    <w:rsid w:val="00042AC1"/>
    <w:rsid w:val="00046516"/>
    <w:rsid w:val="0007601D"/>
    <w:rsid w:val="00080D34"/>
    <w:rsid w:val="00083B5B"/>
    <w:rsid w:val="00091C60"/>
    <w:rsid w:val="000B0720"/>
    <w:rsid w:val="000B5EAF"/>
    <w:rsid w:val="00170561"/>
    <w:rsid w:val="0017376E"/>
    <w:rsid w:val="00186AC9"/>
    <w:rsid w:val="00197DF1"/>
    <w:rsid w:val="001B3DD9"/>
    <w:rsid w:val="001B7E5D"/>
    <w:rsid w:val="001D3BAC"/>
    <w:rsid w:val="00245C4E"/>
    <w:rsid w:val="002519D5"/>
    <w:rsid w:val="002C1321"/>
    <w:rsid w:val="002C5896"/>
    <w:rsid w:val="002D3BED"/>
    <w:rsid w:val="002F1F81"/>
    <w:rsid w:val="00307C2B"/>
    <w:rsid w:val="003109D1"/>
    <w:rsid w:val="003650EB"/>
    <w:rsid w:val="00383247"/>
    <w:rsid w:val="003D6E2B"/>
    <w:rsid w:val="003E445C"/>
    <w:rsid w:val="003E7597"/>
    <w:rsid w:val="00450668"/>
    <w:rsid w:val="004952FA"/>
    <w:rsid w:val="004B6A22"/>
    <w:rsid w:val="004D064D"/>
    <w:rsid w:val="004D7F37"/>
    <w:rsid w:val="004E5818"/>
    <w:rsid w:val="00522CE0"/>
    <w:rsid w:val="00524049"/>
    <w:rsid w:val="00565148"/>
    <w:rsid w:val="00587E78"/>
    <w:rsid w:val="00593361"/>
    <w:rsid w:val="005A413B"/>
    <w:rsid w:val="005A5017"/>
    <w:rsid w:val="005A648C"/>
    <w:rsid w:val="005F0968"/>
    <w:rsid w:val="005F1745"/>
    <w:rsid w:val="00647000"/>
    <w:rsid w:val="006C74EA"/>
    <w:rsid w:val="00720D40"/>
    <w:rsid w:val="007318D4"/>
    <w:rsid w:val="00750BD8"/>
    <w:rsid w:val="00765784"/>
    <w:rsid w:val="007A4390"/>
    <w:rsid w:val="007C3BF3"/>
    <w:rsid w:val="007E5CB7"/>
    <w:rsid w:val="008314D2"/>
    <w:rsid w:val="008B2F42"/>
    <w:rsid w:val="008C3697"/>
    <w:rsid w:val="008E185F"/>
    <w:rsid w:val="008F023B"/>
    <w:rsid w:val="009047F3"/>
    <w:rsid w:val="00904E16"/>
    <w:rsid w:val="009162B3"/>
    <w:rsid w:val="00927C62"/>
    <w:rsid w:val="0096633A"/>
    <w:rsid w:val="00983951"/>
    <w:rsid w:val="00984124"/>
    <w:rsid w:val="00984640"/>
    <w:rsid w:val="00984B1B"/>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02561"/>
    <w:rsid w:val="00D1088B"/>
    <w:rsid w:val="00D14DE6"/>
    <w:rsid w:val="00D156D2"/>
    <w:rsid w:val="00D17FED"/>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3353</Characters>
  <Application>Microsoft Office Word</Application>
  <DocSecurity>0</DocSecurity>
  <Lines>27</Lines>
  <Paragraphs>7</Paragraphs>
  <ScaleCrop>false</ScaleCrop>
  <Company> </Company>
  <LinksUpToDate>false</LinksUpToDate>
  <CharactersWithSpaces>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dcterms:created xsi:type="dcterms:W3CDTF">2012-03-28T20:41:00Z</dcterms:created>
  <dcterms:modified xsi:type="dcterms:W3CDTF">2012-03-28T20:41:00Z</dcterms:modified>
</cp:coreProperties>
</file>