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F83" w:rsidRDefault="00AC1F83" w:rsidP="000645EF">
      <w:pPr>
        <w:pStyle w:val="BillDots"/>
      </w:pPr>
      <w:r>
        <w:t>COMMITTEE REPORT</w:t>
      </w:r>
    </w:p>
    <w:p w:rsidR="00AC1F83" w:rsidRDefault="00AC1F83" w:rsidP="000645EF">
      <w:pPr>
        <w:pStyle w:val="BillDots"/>
      </w:pPr>
      <w:r>
        <w:t>March 28, 2012</w:t>
      </w:r>
    </w:p>
    <w:p w:rsidR="00AC1F83" w:rsidRDefault="00AC1F83" w:rsidP="000645EF">
      <w:pPr>
        <w:pStyle w:val="BillDots"/>
      </w:pPr>
    </w:p>
    <w:p w:rsidR="00AC1F83" w:rsidRPr="00AC1F83" w:rsidRDefault="00AC1F83" w:rsidP="00AC1F83">
      <w:pPr>
        <w:pStyle w:val="BillDots"/>
        <w:tabs>
          <w:tab w:val="clear" w:pos="216"/>
          <w:tab w:val="clear" w:pos="432"/>
          <w:tab w:val="clear" w:pos="648"/>
          <w:tab w:val="clear" w:pos="864"/>
          <w:tab w:val="clear" w:pos="1080"/>
          <w:tab w:val="clear" w:pos="1296"/>
          <w:tab w:val="clear" w:pos="5904"/>
          <w:tab w:val="right" w:pos="5933"/>
        </w:tabs>
      </w:pPr>
      <w:r>
        <w:tab/>
      </w:r>
      <w:r>
        <w:rPr>
          <w:b/>
          <w:sz w:val="36"/>
        </w:rPr>
        <w:t>H. 4802</w:t>
      </w:r>
    </w:p>
    <w:p w:rsidR="00AC1F83" w:rsidRDefault="00AC1F83" w:rsidP="000645EF">
      <w:pPr>
        <w:pStyle w:val="BillDots"/>
      </w:pPr>
    </w:p>
    <w:p w:rsidR="00AC1F83" w:rsidRDefault="00AC1F83" w:rsidP="000645EF">
      <w:pPr>
        <w:pStyle w:val="BillDots"/>
      </w:pPr>
      <w:r>
        <w:t xml:space="preserve">Introduced by </w:t>
      </w:r>
      <w:r w:rsidRPr="00AF49AB">
        <w:t>Reps. J.E. Smith, Quinn, Munnerlyn, Williams, Jefferson, Johnson, McEachern, Brannon, Dillard, McLeod, Stavrinakis, Sellers, Sabb, Brady, Ott, Vick, H.B. Brown, Branham, Bingham, Bowers, Cobb</w:t>
      </w:r>
      <w:r w:rsidRPr="00AF49AB">
        <w:noBreakHyphen/>
        <w:t>Hunter, Erickson, Harrison, Hart, Hayes, Herbkersman, Merrill, J.H. Neal, Pitts, G.M. Smith and Whipper</w:t>
      </w:r>
    </w:p>
    <w:p w:rsidR="00AC1F83" w:rsidRDefault="00AC1F83" w:rsidP="000645EF">
      <w:pPr>
        <w:pStyle w:val="BillDots"/>
      </w:pPr>
    </w:p>
    <w:p w:rsidR="00AC1F83" w:rsidRDefault="00AC1F83" w:rsidP="000645EF">
      <w:pPr>
        <w:pStyle w:val="BillDots"/>
      </w:pPr>
      <w:r>
        <w:t>S. Printed 3/28/12--H.</w:t>
      </w:r>
    </w:p>
    <w:p w:rsidR="00AC1F83" w:rsidRDefault="00AC1F83" w:rsidP="000645EF">
      <w:pPr>
        <w:pStyle w:val="BillDots"/>
      </w:pPr>
      <w:r>
        <w:t>Read the first time February 22, 2012.</w:t>
      </w:r>
    </w:p>
    <w:p w:rsidR="00AC1F83" w:rsidRPr="00AC1F83" w:rsidRDefault="00AC1F83" w:rsidP="00AC1F83">
      <w:pPr>
        <w:pStyle w:val="BillDots"/>
        <w:jc w:val="center"/>
      </w:pPr>
      <w:r>
        <w:rPr>
          <w:u w:val="single"/>
        </w:rPr>
        <w:t>            </w:t>
      </w:r>
    </w:p>
    <w:p w:rsidR="00AC1F83" w:rsidRDefault="00AC1F83" w:rsidP="000645EF">
      <w:pPr>
        <w:pStyle w:val="BillDots"/>
      </w:pPr>
    </w:p>
    <w:p w:rsidR="00AC1F83" w:rsidRPr="00AC1F83" w:rsidRDefault="00AC1F83" w:rsidP="00AC1F83">
      <w:pPr>
        <w:pStyle w:val="BillDots"/>
        <w:jc w:val="center"/>
      </w:pPr>
      <w:r>
        <w:rPr>
          <w:b/>
        </w:rPr>
        <w:t>THE COMMITTEE ON WAYS AND MEANS</w:t>
      </w:r>
    </w:p>
    <w:p w:rsidR="00AC1F83" w:rsidRDefault="00AC1F83" w:rsidP="000645EF">
      <w:pPr>
        <w:pStyle w:val="BillDots"/>
      </w:pPr>
      <w:r>
        <w:tab/>
        <w:t>To whom was referred a Bill (H. 4802) to amend the Code of Laws of South Carolina, 1976, by adding Chapter 67 to Title 12 so as to enact the “South Carolina Abandoned Buildings Revitalization Act” which, etc., respectfully</w:t>
      </w:r>
    </w:p>
    <w:p w:rsidR="00AC1F83" w:rsidRPr="00AC1F83" w:rsidRDefault="00AC1F83" w:rsidP="00AC1F83">
      <w:pPr>
        <w:pStyle w:val="BillDots"/>
        <w:jc w:val="center"/>
      </w:pPr>
      <w:r>
        <w:rPr>
          <w:b/>
        </w:rPr>
        <w:t>REPORT:</w:t>
      </w:r>
    </w:p>
    <w:p w:rsidR="00AC1F83" w:rsidRDefault="00AC1F83" w:rsidP="000645EF">
      <w:pPr>
        <w:pStyle w:val="BillDots"/>
      </w:pPr>
      <w:r>
        <w:tab/>
        <w:t>That they have duly and carefully considered the same and recommend that the same do pass:</w:t>
      </w:r>
    </w:p>
    <w:p w:rsidR="00AC1F83" w:rsidRDefault="00AC1F83" w:rsidP="000645EF">
      <w:pPr>
        <w:pStyle w:val="BillDots"/>
      </w:pPr>
    </w:p>
    <w:p w:rsidR="00AC1F83" w:rsidRDefault="00AC1F83" w:rsidP="000645EF">
      <w:pPr>
        <w:pStyle w:val="BillDots"/>
      </w:pPr>
      <w:r>
        <w:t>W. BRIAN WHITE for Committee.</w:t>
      </w:r>
    </w:p>
    <w:p w:rsidR="00AC1F83" w:rsidRPr="00AC1F83" w:rsidRDefault="00AC1F83" w:rsidP="00AC1F83">
      <w:pPr>
        <w:pStyle w:val="BillDots"/>
        <w:jc w:val="center"/>
      </w:pPr>
      <w:r>
        <w:rPr>
          <w:u w:val="single"/>
        </w:rPr>
        <w:t>            </w:t>
      </w:r>
    </w:p>
    <w:p w:rsidR="00AC1F83" w:rsidRDefault="00AC1F83" w:rsidP="000645EF">
      <w:pPr>
        <w:pStyle w:val="BillDots"/>
      </w:pPr>
    </w:p>
    <w:p w:rsidR="00AC1F83" w:rsidRPr="00AC1F83" w:rsidRDefault="00AC1F83" w:rsidP="00AC1F83">
      <w:pPr>
        <w:pStyle w:val="BillDots"/>
        <w:jc w:val="center"/>
      </w:pPr>
      <w:r>
        <w:rPr>
          <w:b/>
          <w:u w:val="single"/>
        </w:rPr>
        <w:t>STATEMENT OF ESTIMATED FISCAL IMPACT</w:t>
      </w:r>
    </w:p>
    <w:p w:rsidR="00AC1F83" w:rsidRPr="00670010" w:rsidRDefault="00AC1F83" w:rsidP="00AC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70010">
        <w:rPr>
          <w:b/>
          <w:szCs w:val="22"/>
        </w:rPr>
        <w:t xml:space="preserve">REVENUE IMPACT </w:t>
      </w:r>
      <w:r w:rsidRPr="00670010">
        <w:rPr>
          <w:b/>
          <w:szCs w:val="22"/>
          <w:vertAlign w:val="superscript"/>
        </w:rPr>
        <w:t>1/</w:t>
      </w:r>
    </w:p>
    <w:p w:rsidR="00AC1F83" w:rsidRPr="00670010" w:rsidRDefault="00AC1F83" w:rsidP="00AC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70010">
        <w:rPr>
          <w:szCs w:val="22"/>
        </w:rPr>
        <w:t xml:space="preserve">This bill is expected to reduce </w:t>
      </w:r>
      <w:r>
        <w:rPr>
          <w:szCs w:val="22"/>
        </w:rPr>
        <w:t>g</w:t>
      </w:r>
      <w:r w:rsidRPr="00670010">
        <w:rPr>
          <w:szCs w:val="22"/>
        </w:rPr>
        <w:t xml:space="preserve">eneral </w:t>
      </w:r>
      <w:r>
        <w:rPr>
          <w:szCs w:val="22"/>
        </w:rPr>
        <w:t>f</w:t>
      </w:r>
      <w:r w:rsidRPr="00670010">
        <w:rPr>
          <w:szCs w:val="22"/>
        </w:rPr>
        <w:t>und individual income tax, corporate income tax, bank tax, or corporate license fee revenue by an estimated $937,500 in FY2012-13 and by an estimated $3,750,000 in FY2013-14, and for each fiscal year thereafter until FY2016-17. If all taxpayers elect the property tax option, local property tax revenue would be reduced by an</w:t>
      </w:r>
      <w:r>
        <w:rPr>
          <w:szCs w:val="22"/>
        </w:rPr>
        <w:t xml:space="preserve"> estimated $3,750,000 annually.</w:t>
      </w:r>
    </w:p>
    <w:p w:rsidR="00AC1F83" w:rsidRPr="00670010" w:rsidRDefault="00AC1F83" w:rsidP="00AC1F83">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670010">
        <w:rPr>
          <w:rFonts w:ascii="Times New Roman" w:hAnsi="Times New Roman"/>
          <w:sz w:val="22"/>
          <w:szCs w:val="22"/>
        </w:rPr>
        <w:t>Explanation</w:t>
      </w:r>
    </w:p>
    <w:p w:rsidR="00AC1F83" w:rsidRPr="00670010" w:rsidRDefault="00AC1F83" w:rsidP="00AC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70010">
        <w:rPr>
          <w:szCs w:val="22"/>
        </w:rPr>
        <w:t xml:space="preserve">This bill would add Chapter 67 to Title 12 to extend a nonrefundable tax credit to create an incentive for the rehabilitation, renovation, and redevelopment of abandoned buildings located in South Carolina. An “abandoned building” </w:t>
      </w:r>
      <w:r w:rsidRPr="00670010">
        <w:rPr>
          <w:szCs w:val="22"/>
        </w:rPr>
        <w:lastRenderedPageBreak/>
        <w:t>means a building or structure on which at least sixty-six percent of the space has been closed continuously to business for a period of at least five years. This bill would add Section 12-67-140(B)(2) to allow a taxpayer a nonrefundable credit of twenty-five percent of the actual rehabilitation expenses incurred at the building site. To be eligible for the tax credit, the actual rehabilitation expenses must be between eighty percent and one hundred twenty-five percent of the estimated rehabilitation expenses set forth in the Notice of Intent to Rehabilitate. The entire credit is earned when the building is placed in service, but the tax credit must be taken in equal installments over five years. Any unused credits may be carried forward for the succeeding five years. The tax credit is limited in use to fifty percent of a taxpayer’s income tax liability against income tax, bank tax, or corporate license fees. The tax credits are transferrable.</w:t>
      </w:r>
    </w:p>
    <w:p w:rsidR="00AC1F83" w:rsidRPr="00670010" w:rsidRDefault="00AC1F83" w:rsidP="00AC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70010">
        <w:rPr>
          <w:szCs w:val="22"/>
        </w:rPr>
        <w:t xml:space="preserve">The taxpayer may also choose to elect a credit against real property taxes levied by local taxing entities. The taxpayer must elect the nonrefundable tax credit to be applied against either the income or corporate license taxes, or against property taxes, but not both. The “real property tax credit” is equal to twenty-five percent of the qualified rehabilitation expenses made to the eligible site up to seventy-five percent of the real property taxes due on the site each year. The municipality or the county must determine the eligibility of the site and the proposed project. The ordinance shall allow the property tax credit to be taken against up to seventy-five percent of the real property taxes due on the site each year not to exceed eight years. The credit vests in the taxpayer in the year in which the eligible site is placed in service. The credit may be carried forward up to eight years. </w:t>
      </w:r>
    </w:p>
    <w:p w:rsidR="00AC1F83" w:rsidRPr="00670010" w:rsidRDefault="00AC1F83" w:rsidP="00AC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70010">
        <w:rPr>
          <w:szCs w:val="22"/>
        </w:rPr>
        <w:t xml:space="preserve">Eligible abandoned buildings, both private and public, may include, but are not limited to, abandoned residences, retail stores, hotels and motels, office space, health care facilities, schools, amusement and recreational facilities, warehouses, manufacturing facilities, fire towers, National Guard armories, military and defense buildings, college and university buildings, and state office buildings. For example, the 165-acre state Department of Mental Health facility located on Bull Street in Columbia recently was sold to a private developer for $15,000,000. The developer has since estimated and revised renovation expenses to $40,000,000. Multiplying $40,000,000 in renovation expenses by a nonrefundable tax credit of twenty-five percent and applying the tax credit in equal installments over five taxable years, yields a </w:t>
      </w:r>
      <w:r w:rsidRPr="00670010">
        <w:rPr>
          <w:szCs w:val="22"/>
        </w:rPr>
        <w:lastRenderedPageBreak/>
        <w:t xml:space="preserve">reduction in </w:t>
      </w:r>
      <w:r>
        <w:rPr>
          <w:szCs w:val="22"/>
        </w:rPr>
        <w:t>g</w:t>
      </w:r>
      <w:r w:rsidRPr="00670010">
        <w:rPr>
          <w:szCs w:val="22"/>
        </w:rPr>
        <w:t xml:space="preserve">eneral </w:t>
      </w:r>
      <w:r>
        <w:rPr>
          <w:szCs w:val="22"/>
        </w:rPr>
        <w:t>f</w:t>
      </w:r>
      <w:r w:rsidRPr="00670010">
        <w:rPr>
          <w:szCs w:val="22"/>
        </w:rPr>
        <w:t>und tax revenue of an estimated $2,000,000 annually for the next five fiscal years.</w:t>
      </w:r>
    </w:p>
    <w:p w:rsidR="00AC1F83" w:rsidRPr="00670010" w:rsidRDefault="00AC1F83" w:rsidP="00AC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70010">
        <w:rPr>
          <w:szCs w:val="22"/>
        </w:rPr>
        <w:t xml:space="preserve">According to the National Trust for Historic Places, the Palmetto Trust for Historic Preservation, the SC Department of Archives and History, the U.S. Department of General Services, and the South Carolina Budget and Control, there is an estimated 500,000 square feet of abandoned building space throughout the state of South Carolina. Multiplying 500,000 square feet of abandoned income producing space by an average renovation cost of $150 per square foot equals an estimated $75,000,000 of renovation expense that may be undertaken. Applying a twenty-five percent nonrefundable tax credit to $75,000,000 of renovation expense and spreading out the tax credit over five equal installments yields an estimated reduction of </w:t>
      </w:r>
      <w:r>
        <w:rPr>
          <w:szCs w:val="22"/>
        </w:rPr>
        <w:t>g</w:t>
      </w:r>
      <w:r w:rsidRPr="00670010">
        <w:rPr>
          <w:szCs w:val="22"/>
        </w:rPr>
        <w:t xml:space="preserve">eneral </w:t>
      </w:r>
      <w:r>
        <w:rPr>
          <w:szCs w:val="22"/>
        </w:rPr>
        <w:t>f</w:t>
      </w:r>
      <w:r w:rsidRPr="00670010">
        <w:rPr>
          <w:szCs w:val="22"/>
        </w:rPr>
        <w:t xml:space="preserve">und individual and corporate income tax and corporation license tax revenue of $3,750,000 in FY2012-13, and for each successive fiscal year for five years to FY2016-17. It is reasonable; however, to estimate that twenty-five percent of rehabilitative projects would qualify in FY2012-13 since it takes time to file a Notice of Intent to Rehabilitate, undertake the renovation, and subsequently inhabit the structure. This bill is expected, therefore, to reduce </w:t>
      </w:r>
      <w:r>
        <w:rPr>
          <w:szCs w:val="22"/>
        </w:rPr>
        <w:t>g</w:t>
      </w:r>
      <w:r w:rsidRPr="00670010">
        <w:rPr>
          <w:szCs w:val="22"/>
        </w:rPr>
        <w:t xml:space="preserve">eneral </w:t>
      </w:r>
      <w:r>
        <w:rPr>
          <w:szCs w:val="22"/>
        </w:rPr>
        <w:t>f</w:t>
      </w:r>
      <w:r w:rsidRPr="00670010">
        <w:rPr>
          <w:szCs w:val="22"/>
        </w:rPr>
        <w:t>und individual and corporate income tax and corporation license tax revenue by an estimated $937,500 in FY2012-13 and by an estimated $3,750,000 in each successive fiscal year through FY2016-17.</w:t>
      </w:r>
    </w:p>
    <w:p w:rsidR="00AC1F83" w:rsidRPr="00670010" w:rsidRDefault="00AC1F83" w:rsidP="00AC1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70010">
        <w:rPr>
          <w:szCs w:val="22"/>
        </w:rPr>
        <w:t>The taxpayer has the option of applying to a county council or city council for a reduction in local property taxes against the value of the rehabilitated structure. If all taxpayers elect the property tax option, local property tax revenue would be reduced by an estimated $3,750,000 annually. This act takes effect upon approval of the Governor.</w:t>
      </w:r>
    </w:p>
    <w:p w:rsidR="00AC1F83" w:rsidRDefault="00AC1F83" w:rsidP="000645EF">
      <w:pPr>
        <w:pStyle w:val="BillDots"/>
      </w:pPr>
    </w:p>
    <w:p w:rsidR="00AC1F83" w:rsidRDefault="00AC1F83" w:rsidP="00AC1F8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C1F83" w:rsidRDefault="00AC1F83" w:rsidP="00AC1F83">
      <w:pPr>
        <w:pStyle w:val="BillDots"/>
        <w:tabs>
          <w:tab w:val="clear" w:pos="216"/>
          <w:tab w:val="clear" w:pos="432"/>
          <w:tab w:val="clear" w:pos="648"/>
          <w:tab w:val="clear" w:pos="864"/>
          <w:tab w:val="clear" w:pos="1080"/>
          <w:tab w:val="clear" w:pos="1296"/>
          <w:tab w:val="clear" w:pos="5904"/>
          <w:tab w:val="left" w:pos="3024"/>
        </w:tabs>
      </w:pPr>
      <w:r>
        <w:tab/>
        <w:t>Frank A. Rainwater</w:t>
      </w:r>
    </w:p>
    <w:p w:rsidR="00AC1F83" w:rsidRPr="00AC1F83" w:rsidRDefault="00AC1F83" w:rsidP="00AC1F8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C1F83" w:rsidRDefault="00AC1F83" w:rsidP="000645EF">
      <w:pPr>
        <w:pStyle w:val="BillDots"/>
      </w:pPr>
    </w:p>
    <w:p w:rsidR="00AC1F83" w:rsidRDefault="00AC1F83" w:rsidP="000645E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C1F83" w:rsidRPr="00AC1F83" w:rsidRDefault="00AC1F83" w:rsidP="000645EF">
      <w:pPr>
        <w:pStyle w:val="BillDots"/>
        <w:sectPr w:rsidR="00AC1F83" w:rsidRPr="00AC1F83" w:rsidSect="00AC1F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45EF" w:rsidRDefault="000645EF" w:rsidP="000645EF">
      <w:pPr>
        <w:pStyle w:val="BillDots"/>
      </w:pPr>
    </w:p>
    <w:p w:rsidR="000645EF" w:rsidRDefault="000645EF" w:rsidP="000645EF">
      <w:pPr>
        <w:pStyle w:val="Numbersforbill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29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67 TO TITLE 12 SO AS TO ENACT THE “SOUTH CAROLINA ABANDONED BUILDINGS REV</w:t>
      </w:r>
      <w:r w:rsidR="00F17550">
        <w:t>ITALIZATION ACT” WHICH PROVIDES</w:t>
      </w:r>
      <w:r>
        <w:t xml:space="preserve"> THAT A TAXPAYER MAKING INVESTMENTS OF A CERTAIN SIZE IN REHABILITATIN</w:t>
      </w:r>
      <w:r w:rsidR="00F17550">
        <w:t xml:space="preserve">G AN ABANDONED BUILDING MAY AT </w:t>
      </w:r>
      <w:r>
        <w:t>HIS OPTION RECEIVE SPECIFIED INCOME TAX CREDITS OR CREDITS AGAINST THE PROPERTY TAX LIABILITY.</w:t>
      </w:r>
    </w:p>
    <w:p w:rsidR="000629B1" w:rsidRDefault="00062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29B1" w:rsidRDefault="00062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29B1" w:rsidRDefault="00062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9B1" w:rsidRDefault="00062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428A">
        <w:t>Title 12 of the 1976 Code is amended by adding:</w:t>
      </w:r>
    </w:p>
    <w:p w:rsidR="0065428A" w:rsidRDefault="00654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67</w:t>
      </w: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Abandoned Buildings </w:t>
      </w: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Revitalization Act</w:t>
      </w: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A17DD6">
        <w:noBreakHyphen/>
      </w:r>
      <w:r>
        <w:t>67</w:t>
      </w:r>
      <w:r w:rsidR="00A17DD6">
        <w:noBreakHyphen/>
      </w:r>
      <w:r>
        <w:t xml:space="preserve">100. </w:t>
      </w:r>
      <w:r>
        <w:tab/>
      </w:r>
      <w:r w:rsidRPr="0075071B">
        <w:rPr>
          <w:color w:val="000000" w:themeColor="text1"/>
          <w:u w:color="000000" w:themeColor="text1"/>
        </w:rPr>
        <w:t xml:space="preserve">This chapter may be cited as the </w:t>
      </w:r>
      <w:r w:rsidR="00A17DD6" w:rsidRPr="00A17DD6">
        <w:rPr>
          <w:color w:val="000000" w:themeColor="text1"/>
          <w:u w:color="000000" w:themeColor="text1"/>
        </w:rPr>
        <w:t>‘</w:t>
      </w:r>
      <w:r w:rsidRPr="0075071B">
        <w:rPr>
          <w:color w:val="000000" w:themeColor="text1"/>
          <w:u w:color="000000" w:themeColor="text1"/>
        </w:rPr>
        <w:t>South Carolina Abandoned Buildings Revitalization Act</w:t>
      </w:r>
      <w:r w:rsidR="00A17DD6" w:rsidRPr="00A17DD6">
        <w:rPr>
          <w:color w:val="000000" w:themeColor="text1"/>
          <w:u w:color="000000" w:themeColor="text1"/>
        </w:rPr>
        <w:t>’</w:t>
      </w:r>
      <w:r w:rsidRPr="0075071B">
        <w:rPr>
          <w:color w:val="000000" w:themeColor="text1"/>
          <w:u w:color="000000" w:themeColor="text1"/>
        </w:rPr>
        <w:t xml:space="preserve">. </w:t>
      </w: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Pr>
          <w:color w:val="000000" w:themeColor="text1"/>
          <w:u w:color="000000" w:themeColor="text1"/>
        </w:rPr>
        <w:t>Section 12</w:t>
      </w:r>
      <w:r w:rsidR="00A17DD6">
        <w:rPr>
          <w:color w:val="000000" w:themeColor="text1"/>
          <w:u w:color="000000" w:themeColor="text1"/>
        </w:rPr>
        <w:noBreakHyphen/>
      </w:r>
      <w:r w:rsidR="00F17550">
        <w:rPr>
          <w:color w:val="000000" w:themeColor="text1"/>
          <w:u w:color="000000" w:themeColor="text1"/>
        </w:rPr>
        <w:t>6</w:t>
      </w:r>
      <w:r>
        <w:rPr>
          <w:color w:val="000000" w:themeColor="text1"/>
          <w:u w:color="000000" w:themeColor="text1"/>
        </w:rPr>
        <w:t>7</w:t>
      </w:r>
      <w:r w:rsidR="00A17DD6">
        <w:rPr>
          <w:color w:val="000000" w:themeColor="text1"/>
          <w:u w:color="000000" w:themeColor="text1"/>
        </w:rPr>
        <w:noBreakHyphen/>
      </w:r>
      <w:r>
        <w:rPr>
          <w:color w:val="000000" w:themeColor="text1"/>
          <w:u w:color="000000" w:themeColor="text1"/>
        </w:rPr>
        <w:t xml:space="preserve">110. </w:t>
      </w:r>
      <w:r>
        <w:rPr>
          <w:color w:val="000000" w:themeColor="text1"/>
          <w:u w:color="000000" w:themeColor="text1"/>
        </w:rPr>
        <w:tab/>
      </w:r>
      <w:r w:rsidRPr="0075071B">
        <w:rPr>
          <w:color w:val="000000" w:themeColor="text1"/>
          <w:u w:color="000000" w:themeColor="text1"/>
        </w:rPr>
        <w:t>(A)</w:t>
      </w:r>
      <w:r w:rsidRPr="0075071B">
        <w:rPr>
          <w:color w:val="000000" w:themeColor="text1"/>
          <w:u w:color="000000" w:themeColor="text1"/>
        </w:rPr>
        <w:tab/>
        <w:t xml:space="preserve">The purpose of this chapter is to create an incentive for the rehabilitation, renovation, and redevelopment of abandoned buildings located in South Carolina.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(B)</w:t>
      </w:r>
      <w:r w:rsidRPr="0075071B">
        <w:rPr>
          <w:color w:val="000000" w:themeColor="text1"/>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w:t>
      </w:r>
      <w:r w:rsidRPr="0075071B">
        <w:rPr>
          <w:color w:val="000000" w:themeColor="text1"/>
          <w:u w:color="000000" w:themeColor="text1"/>
        </w:rPr>
        <w:lastRenderedPageBreak/>
        <w:t>these buildings to productive assets for the communities in which they are located and result in increased job opportunities.</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(C)</w:t>
      </w:r>
      <w:r w:rsidRPr="0075071B">
        <w:rPr>
          <w:color w:val="000000" w:themeColor="text1"/>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75071B">
        <w:rPr>
          <w:color w:val="000000" w:themeColor="text1"/>
          <w:u w:val="single" w:color="000000" w:themeColor="text1"/>
        </w:rPr>
        <w:t xml:space="preserv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 xml:space="preserve">Section </w:t>
      </w:r>
      <w:r>
        <w:rPr>
          <w:color w:val="000000" w:themeColor="text1"/>
          <w:u w:color="000000" w:themeColor="text1"/>
        </w:rPr>
        <w:t>12</w:t>
      </w:r>
      <w:r w:rsidR="00A17DD6">
        <w:rPr>
          <w:color w:val="000000" w:themeColor="text1"/>
          <w:u w:color="000000" w:themeColor="text1"/>
        </w:rPr>
        <w:noBreakHyphen/>
      </w:r>
      <w:r>
        <w:rPr>
          <w:color w:val="000000" w:themeColor="text1"/>
          <w:u w:color="000000" w:themeColor="text1"/>
        </w:rPr>
        <w:t>67</w:t>
      </w:r>
      <w:r w:rsidR="00A17DD6">
        <w:rPr>
          <w:color w:val="000000" w:themeColor="text1"/>
          <w:u w:color="000000" w:themeColor="text1"/>
        </w:rPr>
        <w:noBreakHyphen/>
      </w:r>
      <w:r>
        <w:rPr>
          <w:color w:val="000000" w:themeColor="text1"/>
          <w:u w:color="000000" w:themeColor="text1"/>
        </w:rPr>
        <w:t xml:space="preserve">120. </w:t>
      </w:r>
      <w:r>
        <w:rPr>
          <w:color w:val="000000" w:themeColor="text1"/>
          <w:u w:color="000000" w:themeColor="text1"/>
        </w:rPr>
        <w:tab/>
        <w:t>F</w:t>
      </w:r>
      <w:r w:rsidRPr="0075071B">
        <w:rPr>
          <w:color w:val="000000" w:themeColor="text1"/>
          <w:u w:color="000000" w:themeColor="text1"/>
        </w:rPr>
        <w:t xml:space="preserve">or the purposes of this chapter, unless the context requires otherwise: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(1)</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Abandoned building</w:t>
      </w:r>
      <w:r w:rsidR="00A17DD6" w:rsidRPr="00A17DD6">
        <w:rPr>
          <w:color w:val="000000" w:themeColor="text1"/>
          <w:u w:color="000000" w:themeColor="text1"/>
        </w:rPr>
        <w:t>’</w:t>
      </w:r>
      <w:r w:rsidRPr="0075071B">
        <w:rPr>
          <w:color w:val="000000" w:themeColor="text1"/>
          <w:u w:color="000000" w:themeColor="text1"/>
        </w:rPr>
        <w:t xml:space="preserve"> means a building or structure, which clearly </w:t>
      </w:r>
      <w:r w:rsidR="00771806" w:rsidRPr="0075071B">
        <w:rPr>
          <w:color w:val="000000" w:themeColor="text1"/>
          <w:u w:color="000000" w:themeColor="text1"/>
        </w:rPr>
        <w:t xml:space="preserve">may be </w:t>
      </w:r>
      <w:r w:rsidRPr="0075071B">
        <w:rPr>
          <w:color w:val="000000" w:themeColor="text1"/>
          <w:u w:color="000000" w:themeColor="text1"/>
        </w:rPr>
        <w:t>delineated from other buildings or structures, at least sixty</w:t>
      </w:r>
      <w:r w:rsidR="00A17DD6">
        <w:rPr>
          <w:color w:val="000000" w:themeColor="text1"/>
          <w:u w:color="000000" w:themeColor="text1"/>
        </w:rPr>
        <w:noBreakHyphen/>
      </w:r>
      <w:r w:rsidRPr="0075071B">
        <w:rPr>
          <w:color w:val="000000" w:themeColor="text1"/>
          <w:u w:color="000000" w:themeColor="text1"/>
        </w:rPr>
        <w:t xml:space="preserve">six percent of the space in which has been closed continuously to business or otherwise nonoperational for income producing purposes for a period of at least five years immediately preceding the date on which the taxpayer files a </w:t>
      </w:r>
      <w:r w:rsidR="00A17DD6" w:rsidRPr="00A17DD6">
        <w:rPr>
          <w:color w:val="000000" w:themeColor="text1"/>
          <w:u w:color="000000" w:themeColor="text1"/>
        </w:rPr>
        <w:t>‘</w:t>
      </w:r>
      <w:r w:rsidRPr="0075071B">
        <w:rPr>
          <w:color w:val="000000" w:themeColor="text1"/>
          <w:u w:color="000000" w:themeColor="text1"/>
        </w:rPr>
        <w:t>Notice of Intent to Rehabilitate</w:t>
      </w:r>
      <w:r w:rsidR="00A17DD6" w:rsidRPr="00A17DD6">
        <w:rPr>
          <w:color w:val="000000" w:themeColor="text1"/>
          <w:u w:color="000000" w:themeColor="text1"/>
        </w:rPr>
        <w:t>’</w:t>
      </w:r>
      <w:r w:rsidRPr="0075071B">
        <w:rPr>
          <w:color w:val="000000" w:themeColor="text1"/>
          <w:u w:color="000000" w:themeColor="text1"/>
        </w:rPr>
        <w:t xml:space="preserve">.  For purposes of this item, a building or structure that otherwise qualifies as an </w:t>
      </w:r>
      <w:r w:rsidR="00A17DD6" w:rsidRPr="00A17DD6">
        <w:rPr>
          <w:color w:val="000000" w:themeColor="text1"/>
          <w:u w:color="000000" w:themeColor="text1"/>
        </w:rPr>
        <w:t>‘</w:t>
      </w:r>
      <w:r w:rsidRPr="0075071B">
        <w:rPr>
          <w:color w:val="000000" w:themeColor="text1"/>
          <w:u w:color="000000" w:themeColor="text1"/>
        </w:rPr>
        <w:t>abandoned building</w:t>
      </w:r>
      <w:r w:rsidR="00A17DD6" w:rsidRPr="00A17DD6">
        <w:rPr>
          <w:color w:val="000000" w:themeColor="text1"/>
          <w:u w:color="000000" w:themeColor="text1"/>
        </w:rPr>
        <w:t>’</w:t>
      </w:r>
      <w:r w:rsidRPr="0075071B">
        <w:rPr>
          <w:color w:val="000000" w:themeColor="text1"/>
          <w:u w:color="000000" w:themeColor="text1"/>
        </w:rPr>
        <w:t xml:space="preserve">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(2)</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Building site</w:t>
      </w:r>
      <w:r w:rsidR="00A17DD6" w:rsidRPr="00A17DD6">
        <w:rPr>
          <w:color w:val="000000" w:themeColor="text1"/>
          <w:u w:color="000000" w:themeColor="text1"/>
        </w:rPr>
        <w:t>’</w:t>
      </w:r>
      <w:r w:rsidRPr="0075071B">
        <w:rPr>
          <w:color w:val="000000" w:themeColor="text1"/>
          <w:u w:color="000000" w:themeColor="text1"/>
        </w:rPr>
        <w:t xml:space="preserve"> means the abandoned building together with the parcel of land upon which it is located and other improvements located on </w:t>
      </w:r>
      <w:r w:rsidR="00FD3E2C">
        <w:rPr>
          <w:color w:val="000000" w:themeColor="text1"/>
          <w:u w:color="000000" w:themeColor="text1"/>
        </w:rPr>
        <w:t>the</w:t>
      </w:r>
      <w:r w:rsidRPr="0075071B">
        <w:rPr>
          <w:color w:val="000000" w:themeColor="text1"/>
          <w:u w:color="000000" w:themeColor="text1"/>
        </w:rPr>
        <w:t xml:space="preserve"> parcel.  However, the area of the building site is limited to the land upon which the abandoned building is located and the land immediately surrounding such building used for parking and other similar purposes directly related to the building</w:t>
      </w:r>
      <w:r w:rsidR="00A17DD6" w:rsidRPr="00A17DD6">
        <w:rPr>
          <w:color w:val="000000" w:themeColor="text1"/>
          <w:u w:color="000000" w:themeColor="text1"/>
        </w:rPr>
        <w:t>’</w:t>
      </w:r>
      <w:r w:rsidRPr="0075071B">
        <w:rPr>
          <w:color w:val="000000" w:themeColor="text1"/>
          <w:u w:color="000000" w:themeColor="text1"/>
        </w:rPr>
        <w:t xml:space="preserve">s income producing use.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t>(3)</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Local taxing entities</w:t>
      </w:r>
      <w:r w:rsidR="00A17DD6" w:rsidRPr="00A17DD6">
        <w:rPr>
          <w:color w:val="000000" w:themeColor="text1"/>
          <w:u w:color="000000" w:themeColor="text1"/>
        </w:rPr>
        <w:t>’</w:t>
      </w:r>
      <w:r w:rsidRPr="0075071B">
        <w:rPr>
          <w:color w:val="000000" w:themeColor="text1"/>
          <w:u w:color="000000" w:themeColor="text1"/>
        </w:rPr>
        <w:t xml:space="preserve"> means a county, municipality, school district, special purpose district, and other entity or district with the power to levy ad valorem property taxes against the building site.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(6)</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Local taxing entity ratio</w:t>
      </w:r>
      <w:r w:rsidR="00A17DD6" w:rsidRPr="00A17DD6">
        <w:rPr>
          <w:color w:val="000000" w:themeColor="text1"/>
          <w:u w:color="000000" w:themeColor="text1"/>
        </w:rPr>
        <w:t>’</w:t>
      </w:r>
      <w:r w:rsidRPr="0075071B">
        <w:rPr>
          <w:color w:val="000000" w:themeColor="text1"/>
          <w:u w:color="000000" w:themeColor="text1"/>
        </w:rPr>
        <w:t xml:space="preserve"> means that percentage computed by dividing the millage rate of each local taxing entity by the total millage rate for the building site.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(4)</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Placed in service</w:t>
      </w:r>
      <w:r w:rsidR="00A17DD6" w:rsidRPr="00A17DD6">
        <w:rPr>
          <w:color w:val="000000" w:themeColor="text1"/>
          <w:u w:color="000000" w:themeColor="text1"/>
        </w:rPr>
        <w:t>’</w:t>
      </w:r>
      <w:r w:rsidRPr="0075071B">
        <w:rPr>
          <w:color w:val="000000" w:themeColor="text1"/>
          <w:u w:color="000000" w:themeColor="text1"/>
        </w:rPr>
        <w:t xml:space="preserv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(5)</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Rehabilitation expenses</w:t>
      </w:r>
      <w:r w:rsidR="00A17DD6" w:rsidRPr="00A17DD6">
        <w:rPr>
          <w:color w:val="000000" w:themeColor="text1"/>
          <w:u w:color="000000" w:themeColor="text1"/>
        </w:rPr>
        <w:t>’</w:t>
      </w:r>
      <w:r w:rsidRPr="0075071B">
        <w:rPr>
          <w:color w:val="000000" w:themeColor="text1"/>
          <w:u w:color="000000" w:themeColor="text1"/>
        </w:rPr>
        <w:t xml:space="preserve"> means the expenses or capital expenditures incurred in the rehabilitation,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(6)</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Notice of Intent to Rehabilitate</w:t>
      </w:r>
      <w:r w:rsidR="00A17DD6" w:rsidRPr="00A17DD6">
        <w:rPr>
          <w:color w:val="000000" w:themeColor="text1"/>
          <w:u w:color="000000" w:themeColor="text1"/>
        </w:rPr>
        <w:t>’</w:t>
      </w:r>
      <w:r w:rsidRPr="0075071B">
        <w:rPr>
          <w:color w:val="000000" w:themeColor="text1"/>
          <w:u w:color="000000" w:themeColor="text1"/>
        </w:rPr>
        <w:t xml:space="preserve"> means a letter submitted by the taxpayer to the department or the municipality or county as specified in this chapter, indicating the taxpayer</w:t>
      </w:r>
      <w:r w:rsidR="00A17DD6" w:rsidRPr="00A17DD6">
        <w:rPr>
          <w:color w:val="000000" w:themeColor="text1"/>
          <w:u w:color="000000" w:themeColor="text1"/>
        </w:rPr>
        <w:t>’</w:t>
      </w:r>
      <w:r w:rsidRPr="0075071B">
        <w:rPr>
          <w:color w:val="000000" w:themeColor="text1"/>
          <w:u w:color="000000" w:themeColor="text1"/>
        </w:rPr>
        <w:t>s intent to rehabilitate the building site, the location of the building site, the amount of acreage involved in the building site, and the estimated expenses to be incurred in connection with rehabilitation of the building site.  The notice also must set forth information as to which buildings t</w:t>
      </w:r>
      <w:r w:rsidR="002C1B06">
        <w:rPr>
          <w:color w:val="000000" w:themeColor="text1"/>
          <w:u w:color="000000" w:themeColor="text1"/>
        </w:rPr>
        <w:t>he taxpayer intends to renovate</w:t>
      </w:r>
      <w:r w:rsidRPr="0075071B">
        <w:rPr>
          <w:color w:val="000000" w:themeColor="text1"/>
          <w:u w:color="000000" w:themeColor="text1"/>
        </w:rPr>
        <w:t xml:space="preserve"> and whether new construction is to be involved.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 xml:space="preserve">Section </w:t>
      </w:r>
      <w:r w:rsidR="00771806">
        <w:rPr>
          <w:color w:val="000000" w:themeColor="text1"/>
          <w:u w:color="000000" w:themeColor="text1"/>
        </w:rPr>
        <w:t>12</w:t>
      </w:r>
      <w:r w:rsidR="00A17DD6">
        <w:rPr>
          <w:color w:val="000000" w:themeColor="text1"/>
          <w:u w:color="000000" w:themeColor="text1"/>
        </w:rPr>
        <w:noBreakHyphen/>
      </w:r>
      <w:r w:rsidR="00771806">
        <w:rPr>
          <w:color w:val="000000" w:themeColor="text1"/>
          <w:u w:color="000000" w:themeColor="text1"/>
        </w:rPr>
        <w:t>67</w:t>
      </w:r>
      <w:r w:rsidR="00A17DD6">
        <w:rPr>
          <w:color w:val="000000" w:themeColor="text1"/>
          <w:u w:color="000000" w:themeColor="text1"/>
        </w:rPr>
        <w:noBreakHyphen/>
      </w:r>
      <w:r w:rsidR="00771806">
        <w:rPr>
          <w:color w:val="000000" w:themeColor="text1"/>
          <w:u w:color="000000" w:themeColor="text1"/>
        </w:rPr>
        <w:t xml:space="preserve">130. </w:t>
      </w:r>
      <w:r w:rsidR="00771806">
        <w:rPr>
          <w:color w:val="000000" w:themeColor="text1"/>
          <w:u w:color="000000" w:themeColor="text1"/>
        </w:rPr>
        <w:tab/>
      </w:r>
      <w:r w:rsidRPr="0075071B">
        <w:rPr>
          <w:color w:val="000000" w:themeColor="text1"/>
          <w:u w:color="000000" w:themeColor="text1"/>
        </w:rPr>
        <w:t xml:space="preserve">This </w:t>
      </w:r>
      <w:r w:rsidR="00771806">
        <w:rPr>
          <w:color w:val="000000" w:themeColor="text1"/>
          <w:u w:color="000000" w:themeColor="text1"/>
        </w:rPr>
        <w:t>chapter</w:t>
      </w:r>
      <w:r w:rsidRPr="0075071B">
        <w:rPr>
          <w:color w:val="000000" w:themeColor="text1"/>
          <w:u w:color="000000" w:themeColor="text1"/>
        </w:rPr>
        <w:t xml:space="preserve"> only applies to abandoned building sites</w:t>
      </w:r>
      <w:r w:rsidR="00106644">
        <w:rPr>
          <w:color w:val="000000" w:themeColor="text1"/>
          <w:u w:color="000000" w:themeColor="text1"/>
        </w:rPr>
        <w:t xml:space="preserve"> or</w:t>
      </w:r>
      <w:r w:rsidR="00FD3E2C">
        <w:rPr>
          <w:color w:val="000000" w:themeColor="text1"/>
          <w:u w:color="000000" w:themeColor="text1"/>
        </w:rPr>
        <w:t xml:space="preserve"> phases or portions thereof put into operation</w:t>
      </w:r>
      <w:r w:rsidRPr="0075071B">
        <w:rPr>
          <w:color w:val="000000" w:themeColor="text1"/>
          <w:u w:color="000000" w:themeColor="text1"/>
        </w:rPr>
        <w:t xml:space="preserve"> in which a taxpayer incurs more than five hundred thousand dollars in rehabilitation expenses.</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771806"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A17DD6">
        <w:rPr>
          <w:color w:val="000000" w:themeColor="text1"/>
          <w:u w:color="000000" w:themeColor="text1"/>
        </w:rPr>
        <w:noBreakHyphen/>
      </w:r>
      <w:r>
        <w:rPr>
          <w:color w:val="000000" w:themeColor="text1"/>
          <w:u w:color="000000" w:themeColor="text1"/>
        </w:rPr>
        <w:t>67</w:t>
      </w:r>
      <w:r w:rsidR="00A17DD6">
        <w:rPr>
          <w:color w:val="000000" w:themeColor="text1"/>
          <w:u w:color="000000" w:themeColor="text1"/>
        </w:rPr>
        <w:noBreakHyphen/>
      </w:r>
      <w:r>
        <w:rPr>
          <w:color w:val="000000" w:themeColor="text1"/>
          <w:u w:color="000000" w:themeColor="text1"/>
        </w:rPr>
        <w:t>140</w:t>
      </w:r>
      <w:r w:rsidR="0065428A" w:rsidRPr="0075071B">
        <w:rPr>
          <w:color w:val="000000" w:themeColor="text1"/>
          <w:u w:color="000000" w:themeColor="text1"/>
        </w:rPr>
        <w:t xml:space="preserve">. </w:t>
      </w:r>
      <w:r w:rsidR="0065428A" w:rsidRPr="0075071B">
        <w:rPr>
          <w:color w:val="000000" w:themeColor="text1"/>
          <w:u w:color="000000" w:themeColor="text1"/>
        </w:rPr>
        <w:tab/>
        <w:t>(A)</w:t>
      </w:r>
      <w:r w:rsidR="0065428A" w:rsidRPr="0075071B">
        <w:rPr>
          <w:color w:val="000000" w:themeColor="text1"/>
          <w:u w:color="000000" w:themeColor="text1"/>
        </w:rPr>
        <w:tab/>
        <w:t xml:space="preserve">Subject to the terms and conditions of this chapter, a taxpayer who rehabilitates an abandoned building is eligible for either: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a credit against income taxes imposed pursuant to Chapter 6 and Chapter 11 of this title or corporate license fees pursuant to Chapter 20 of this title, or both;  or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r>
      <w:r w:rsidRPr="0075071B">
        <w:rPr>
          <w:color w:val="000000" w:themeColor="text1"/>
          <w:u w:color="000000" w:themeColor="text1"/>
        </w:rPr>
        <w:tab/>
        <w:t>(2)</w:t>
      </w:r>
      <w:r w:rsidRPr="0075071B">
        <w:rPr>
          <w:color w:val="000000" w:themeColor="text1"/>
          <w:u w:color="000000" w:themeColor="text1"/>
        </w:rPr>
        <w:tab/>
        <w:t xml:space="preserve">a credit against real property taxes levied by local taxing entities.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(B)</w:t>
      </w:r>
      <w:r w:rsidRPr="0075071B">
        <w:rPr>
          <w:color w:val="000000" w:themeColor="text1"/>
          <w:u w:color="000000" w:themeColor="text1"/>
        </w:rPr>
        <w:tab/>
        <w:t xml:space="preserve">If the taxpayer elects to receive the credit pursuant to subsection (A)(1), the following provisions apply: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(2)</w:t>
      </w:r>
      <w:r w:rsidRPr="0075071B">
        <w:rPr>
          <w:color w:val="000000" w:themeColor="text1"/>
          <w:u w:color="000000" w:themeColor="text1"/>
        </w:rPr>
        <w:tab/>
        <w:t>The amount of the credit is equal to twenty</w:t>
      </w:r>
      <w:r w:rsidR="00A17DD6">
        <w:rPr>
          <w:color w:val="000000" w:themeColor="text1"/>
          <w:u w:color="000000" w:themeColor="text1"/>
        </w:rPr>
        <w:noBreakHyphen/>
      </w:r>
      <w:r w:rsidRPr="0075071B">
        <w:rPr>
          <w:color w:val="000000" w:themeColor="text1"/>
          <w:u w:color="000000" w:themeColor="text1"/>
        </w:rPr>
        <w:t>five percent of the actual rehabilitation expenses incurred at the building site if the actual rehabilitation expenses incurred in rehabilitating the building site are between eighty percent and one hundred twenty</w:t>
      </w:r>
      <w:r w:rsidR="00A17DD6">
        <w:rPr>
          <w:color w:val="000000" w:themeColor="text1"/>
          <w:u w:color="000000" w:themeColor="text1"/>
        </w:rPr>
        <w:noBreakHyphen/>
      </w:r>
      <w:r w:rsidRPr="0075071B">
        <w:rPr>
          <w:color w:val="000000" w:themeColor="text1"/>
          <w:u w:color="000000" w:themeColor="text1"/>
        </w:rPr>
        <w:t>five percent of the estimated rehabilitation expenses set forth in the Notice of Intent to Rehabilitate.  If the actual rehabilitation expenses exceed one hundred twenty</w:t>
      </w:r>
      <w:r w:rsidR="00A17DD6">
        <w:rPr>
          <w:color w:val="000000" w:themeColor="text1"/>
          <w:u w:color="000000" w:themeColor="text1"/>
        </w:rPr>
        <w:noBreakHyphen/>
      </w:r>
      <w:r w:rsidRPr="0075071B">
        <w:rPr>
          <w:color w:val="000000" w:themeColor="text1"/>
          <w:u w:color="000000" w:themeColor="text1"/>
        </w:rPr>
        <w:t>five percent of the estimated expenses set forth in the Notice of Intent to Rehabilitate, the taxpayer qualifies for the credit based on one hundred twenty</w:t>
      </w:r>
      <w:r w:rsidR="00A17DD6">
        <w:rPr>
          <w:color w:val="000000" w:themeColor="text1"/>
          <w:u w:color="000000" w:themeColor="text1"/>
        </w:rPr>
        <w:noBreakHyphen/>
      </w:r>
      <w:r w:rsidRPr="0075071B">
        <w:rPr>
          <w:color w:val="000000" w:themeColor="text1"/>
          <w:u w:color="000000" w:themeColor="text1"/>
        </w:rPr>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(3)</w:t>
      </w:r>
      <w:r w:rsidRPr="0075071B">
        <w:rPr>
          <w:color w:val="000000" w:themeColor="text1"/>
          <w:u w:color="000000" w:themeColor="text1"/>
        </w:rPr>
        <w:tab/>
        <w:t>The entire credit is earned in the taxable year in which the applicable phase or portion of the building site is placed in service but must be taken in equal installments over a five</w:t>
      </w:r>
      <w:r w:rsidR="00A17DD6">
        <w:rPr>
          <w:color w:val="000000" w:themeColor="text1"/>
          <w:u w:color="000000" w:themeColor="text1"/>
        </w:rPr>
        <w:noBreakHyphen/>
      </w:r>
      <w:r w:rsidRPr="0075071B">
        <w:rPr>
          <w:color w:val="000000" w:themeColor="text1"/>
          <w:u w:color="000000" w:themeColor="text1"/>
        </w:rPr>
        <w:t xml:space="preserve">year period beginning with the tax year in which the applicable phase or portion of the building site is placed in service.  Unused credit may be carried forward for the succeeding five years.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(4)</w:t>
      </w:r>
      <w:r w:rsidRPr="0075071B">
        <w:rPr>
          <w:color w:val="000000" w:themeColor="text1"/>
          <w:u w:color="000000" w:themeColor="text1"/>
        </w:rPr>
        <w:tab/>
        <w:t>If the taxpayer qualifies for both the credit allowed by this section and the credit allowed pursuant to the Textiles Communities Revitalization Act, the taxpayer only</w:t>
      </w:r>
      <w:r w:rsidR="00106644">
        <w:rPr>
          <w:color w:val="000000" w:themeColor="text1"/>
          <w:u w:color="000000" w:themeColor="text1"/>
        </w:rPr>
        <w:t xml:space="preserve"> may</w:t>
      </w:r>
      <w:r w:rsidRPr="0075071B">
        <w:rPr>
          <w:color w:val="000000" w:themeColor="text1"/>
          <w:u w:color="000000" w:themeColor="text1"/>
        </w:rPr>
        <w:t xml:space="preserve"> claim one of the two credits.  However, the taxpayer </w:t>
      </w:r>
      <w:r w:rsidR="00771806">
        <w:rPr>
          <w:color w:val="000000" w:themeColor="text1"/>
          <w:u w:color="000000" w:themeColor="text1"/>
        </w:rPr>
        <w:t>is</w:t>
      </w:r>
      <w:r w:rsidRPr="0075071B">
        <w:rPr>
          <w:color w:val="000000" w:themeColor="text1"/>
          <w:u w:color="000000" w:themeColor="text1"/>
        </w:rPr>
        <w:t xml:space="preserve"> not disqualified from claiming any other tax credit in conjunction with the credit allowed by this section.</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(5)</w:t>
      </w:r>
      <w:r w:rsidRPr="0075071B">
        <w:rPr>
          <w:color w:val="000000" w:themeColor="text1"/>
          <w:u w:color="000000" w:themeColor="text1"/>
        </w:rPr>
        <w:tab/>
        <w:t xml:space="preserve">The credit allowed by this subsection is limited in use to fifty percent of either: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(a)</w:t>
      </w:r>
      <w:r w:rsidRPr="0075071B">
        <w:rPr>
          <w:color w:val="000000" w:themeColor="text1"/>
          <w:u w:color="000000" w:themeColor="text1"/>
        </w:rPr>
        <w:tab/>
        <w:t>the taxpayer</w:t>
      </w:r>
      <w:r w:rsidR="00A17DD6" w:rsidRPr="00A17DD6">
        <w:rPr>
          <w:color w:val="000000" w:themeColor="text1"/>
          <w:u w:color="000000" w:themeColor="text1"/>
        </w:rPr>
        <w:t>’</w:t>
      </w:r>
      <w:r w:rsidRPr="0075071B">
        <w:rPr>
          <w:color w:val="000000" w:themeColor="text1"/>
          <w:u w:color="000000" w:themeColor="text1"/>
        </w:rPr>
        <w:t>s income tax liability for the taxable year if taxpayer claims the credit allowed by this section as a credit against income tax imposed pursuant to Chapter 6 or Chapter 11 of this title; or</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the taxpayer</w:t>
      </w:r>
      <w:r w:rsidR="00A17DD6" w:rsidRPr="00A17DD6">
        <w:rPr>
          <w:color w:val="000000" w:themeColor="text1"/>
          <w:u w:color="000000" w:themeColor="text1"/>
        </w:rPr>
        <w:t>’</w:t>
      </w:r>
      <w:r w:rsidRPr="0075071B">
        <w:rPr>
          <w:color w:val="000000" w:themeColor="text1"/>
          <w:u w:color="000000" w:themeColor="text1"/>
        </w:rPr>
        <w:t xml:space="preserve">s corporate license fees for the taxable year if the taxpayer claims the credit allowed by this section as a credit against license fees imposed pursuant to Chapter 20.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r>
      <w:r w:rsidRPr="0075071B">
        <w:rPr>
          <w:color w:val="000000" w:themeColor="text1"/>
          <w:u w:color="000000" w:themeColor="text1"/>
        </w:rPr>
        <w:tab/>
        <w:t>(6)(a)</w:t>
      </w:r>
      <w:r w:rsidRPr="0075071B">
        <w:rPr>
          <w:color w:val="000000" w:themeColor="text1"/>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 xml:space="preserve">To the extent that the taxpayer transfers the credit, the taxpayer </w:t>
      </w:r>
      <w:r w:rsidR="00771806">
        <w:rPr>
          <w:color w:val="000000" w:themeColor="text1"/>
          <w:u w:color="000000" w:themeColor="text1"/>
        </w:rPr>
        <w:t>shall</w:t>
      </w:r>
      <w:r w:rsidRPr="0075071B">
        <w:rPr>
          <w:color w:val="000000" w:themeColor="text1"/>
          <w:u w:color="000000" w:themeColor="text1"/>
        </w:rPr>
        <w:t xml:space="preserve"> notify the </w:t>
      </w:r>
      <w:r w:rsidR="00771806" w:rsidRPr="0075071B">
        <w:rPr>
          <w:color w:val="000000" w:themeColor="text1"/>
          <w:u w:color="000000" w:themeColor="text1"/>
        </w:rPr>
        <w:t xml:space="preserve">department </w:t>
      </w:r>
      <w:r w:rsidRPr="0075071B">
        <w:rPr>
          <w:color w:val="000000" w:themeColor="text1"/>
          <w:u w:color="000000" w:themeColor="text1"/>
        </w:rPr>
        <w:t xml:space="preserve">of the transfer in the manner the </w:t>
      </w:r>
      <w:r w:rsidR="00771806" w:rsidRPr="0075071B">
        <w:rPr>
          <w:color w:val="000000" w:themeColor="text1"/>
          <w:u w:color="000000" w:themeColor="text1"/>
        </w:rPr>
        <w:t xml:space="preserve">department </w:t>
      </w:r>
      <w:r w:rsidRPr="0075071B">
        <w:rPr>
          <w:color w:val="000000" w:themeColor="text1"/>
          <w:u w:color="000000" w:themeColor="text1"/>
        </w:rPr>
        <w:t xml:space="preserve">prescribes. </w:t>
      </w:r>
    </w:p>
    <w:p w:rsidR="00771806"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(7)</w:t>
      </w:r>
      <w:r w:rsidRPr="0075071B">
        <w:rPr>
          <w:color w:val="000000" w:themeColor="text1"/>
          <w:u w:color="000000" w:themeColor="text1"/>
        </w:rPr>
        <w:tab/>
        <w:t xml:space="preserve">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w:t>
      </w:r>
      <w:r w:rsidR="00FD3E2C">
        <w:rPr>
          <w:color w:val="000000" w:themeColor="text1"/>
          <w:u w:color="000000" w:themeColor="text1"/>
        </w:rPr>
        <w:t>the</w:t>
      </w:r>
      <w:r w:rsidRPr="0075071B">
        <w:rPr>
          <w:color w:val="000000" w:themeColor="text1"/>
          <w:u w:color="000000" w:themeColor="text1"/>
        </w:rPr>
        <w:t xml:space="preserve"> allocation, including, without limitation, the treatment of </w:t>
      </w:r>
      <w:r w:rsidR="00FD3E2C">
        <w:rPr>
          <w:color w:val="000000" w:themeColor="text1"/>
          <w:u w:color="000000" w:themeColor="text1"/>
        </w:rPr>
        <w:t>the</w:t>
      </w:r>
      <w:r w:rsidRPr="0075071B">
        <w:rPr>
          <w:color w:val="000000" w:themeColor="text1"/>
          <w:u w:color="000000" w:themeColor="text1"/>
        </w:rPr>
        <w:t xml:space="preserve"> allocation as a disguised sale.</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(C)</w:t>
      </w:r>
      <w:r w:rsidRPr="0075071B">
        <w:rPr>
          <w:color w:val="000000" w:themeColor="text1"/>
          <w:u w:color="000000" w:themeColor="text1"/>
        </w:rPr>
        <w:tab/>
        <w:t xml:space="preserve">If the taxpayer elects to receive the credit pursuant to subsection (A)(2), the following provisions apply: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(2)</w:t>
      </w:r>
      <w:r w:rsidRPr="0075071B">
        <w:rPr>
          <w:color w:val="000000" w:themeColor="text1"/>
          <w:u w:color="000000" w:themeColor="text1"/>
        </w:rPr>
        <w:tab/>
        <w:t xml:space="preserve">Once the Notice of Intent to Rehabilitate has been provided to the county or municipality, the municipality or the county </w:t>
      </w:r>
      <w:r w:rsidR="00771806">
        <w:rPr>
          <w:color w:val="000000" w:themeColor="text1"/>
          <w:u w:color="000000" w:themeColor="text1"/>
        </w:rPr>
        <w:t xml:space="preserve">first </w:t>
      </w:r>
      <w:r w:rsidRPr="0075071B">
        <w:rPr>
          <w:color w:val="000000" w:themeColor="text1"/>
          <w:u w:color="000000" w:themeColor="text1"/>
        </w:rPr>
        <w:t xml:space="preserve">shall </w:t>
      </w:r>
      <w:r w:rsidR="00771806">
        <w:rPr>
          <w:color w:val="000000" w:themeColor="text1"/>
          <w:u w:color="000000" w:themeColor="text1"/>
        </w:rPr>
        <w:t xml:space="preserve">determine, </w:t>
      </w:r>
      <w:r w:rsidRPr="0075071B">
        <w:rPr>
          <w:color w:val="000000" w:themeColor="text1"/>
          <w:u w:color="000000" w:themeColor="text1"/>
        </w:rPr>
        <w:t>by resolution</w:t>
      </w:r>
      <w:r w:rsidR="00771806">
        <w:rPr>
          <w:color w:val="000000" w:themeColor="text1"/>
          <w:u w:color="000000" w:themeColor="text1"/>
        </w:rPr>
        <w:t>,</w:t>
      </w:r>
      <w:r w:rsidRPr="0075071B">
        <w:rPr>
          <w:color w:val="000000" w:themeColor="text1"/>
          <w:u w:color="000000" w:themeColor="text1"/>
        </w:rPr>
        <w:t xml:space="preserve"> the eligibility of the building site and the proposed rehabilitation expenses for the credit.  A proposed rehabilitation of a building site must be approved by a positive majority vote of the local governing body.  For purposes of this subsection, </w:t>
      </w:r>
      <w:r w:rsidR="00A17DD6" w:rsidRPr="00A17DD6">
        <w:rPr>
          <w:color w:val="000000" w:themeColor="text1"/>
          <w:u w:color="000000" w:themeColor="text1"/>
        </w:rPr>
        <w:t>‘</w:t>
      </w:r>
      <w:r w:rsidRPr="0075071B">
        <w:rPr>
          <w:color w:val="000000" w:themeColor="text1"/>
          <w:u w:color="000000" w:themeColor="text1"/>
        </w:rPr>
        <w:t>positive majority vote</w:t>
      </w:r>
      <w:r w:rsidR="00A17DD6" w:rsidRPr="00A17DD6">
        <w:rPr>
          <w:color w:val="000000" w:themeColor="text1"/>
          <w:u w:color="000000" w:themeColor="text1"/>
        </w:rPr>
        <w:t>’</w:t>
      </w:r>
      <w:r w:rsidRPr="0075071B">
        <w:rPr>
          <w:color w:val="000000" w:themeColor="text1"/>
          <w:u w:color="000000" w:themeColor="text1"/>
        </w:rPr>
        <w:t xml:space="preserve"> is as defined in Section 6</w:t>
      </w:r>
      <w:r w:rsidR="00A17DD6">
        <w:rPr>
          <w:color w:val="000000" w:themeColor="text1"/>
          <w:u w:color="000000" w:themeColor="text1"/>
        </w:rPr>
        <w:noBreakHyphen/>
      </w:r>
      <w:r w:rsidRPr="0075071B">
        <w:rPr>
          <w:color w:val="000000" w:themeColor="text1"/>
          <w:u w:color="000000" w:themeColor="text1"/>
        </w:rPr>
        <w:t>1</w:t>
      </w:r>
      <w:r w:rsidR="00A17DD6">
        <w:rPr>
          <w:color w:val="000000" w:themeColor="text1"/>
          <w:u w:color="000000" w:themeColor="text1"/>
        </w:rPr>
        <w:noBreakHyphen/>
      </w:r>
      <w:r w:rsidRPr="0075071B">
        <w:rPr>
          <w:color w:val="000000" w:themeColor="text1"/>
          <w:u w:color="000000" w:themeColor="text1"/>
        </w:rPr>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w:t>
      </w:r>
      <w:r w:rsidRPr="0075071B">
        <w:rPr>
          <w:color w:val="000000" w:themeColor="text1"/>
          <w:u w:color="000000" w:themeColor="text1"/>
        </w:rPr>
        <w:lastRenderedPageBreak/>
        <w:t xml:space="preserve">credit does not violate a covenant, representation, or warranty in any of its tax increment financing transactions or an outstanding general obligation bond issued by the county or municipality.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(3)(a)</w:t>
      </w:r>
      <w:r w:rsidRPr="0075071B">
        <w:rPr>
          <w:color w:val="000000" w:themeColor="text1"/>
          <w:u w:color="000000" w:themeColor="text1"/>
        </w:rPr>
        <w:tab/>
        <w:t>The amount of the credit is equal to twenty</w:t>
      </w:r>
      <w:r w:rsidR="00A17DD6">
        <w:rPr>
          <w:color w:val="000000" w:themeColor="text1"/>
          <w:u w:color="000000" w:themeColor="text1"/>
        </w:rPr>
        <w:noBreakHyphen/>
      </w:r>
      <w:r w:rsidRPr="0075071B">
        <w:rPr>
          <w:color w:val="000000" w:themeColor="text1"/>
          <w:u w:color="000000" w:themeColor="text1"/>
        </w:rPr>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sidR="00A17DD6">
        <w:rPr>
          <w:color w:val="000000" w:themeColor="text1"/>
          <w:u w:color="000000" w:themeColor="text1"/>
        </w:rPr>
        <w:noBreakHyphen/>
      </w:r>
      <w:r w:rsidRPr="0075071B">
        <w:rPr>
          <w:color w:val="000000" w:themeColor="text1"/>
          <w:u w:color="000000" w:themeColor="text1"/>
        </w:rPr>
        <w:t>five percent of the estimated rehabilitation expenses set forth in the Notice of Intent to Rehabilitate.  If the actual rehabilitation expenses exceed one hundred twenty</w:t>
      </w:r>
      <w:r w:rsidR="00A17DD6">
        <w:rPr>
          <w:color w:val="000000" w:themeColor="text1"/>
          <w:u w:color="000000" w:themeColor="text1"/>
        </w:rPr>
        <w:noBreakHyphen/>
      </w:r>
      <w:r w:rsidRPr="0075071B">
        <w:rPr>
          <w:color w:val="000000" w:themeColor="text1"/>
          <w:u w:color="000000" w:themeColor="text1"/>
        </w:rPr>
        <w:t>five percent of the estimated expenses set forth in the Notice of Intent to Rehabilitate, the taxpayer qualifies for the credit based on one hundred twenty</w:t>
      </w:r>
      <w:r w:rsidR="00A17DD6">
        <w:rPr>
          <w:color w:val="000000" w:themeColor="text1"/>
          <w:u w:color="000000" w:themeColor="text1"/>
        </w:rPr>
        <w:noBreakHyphen/>
      </w:r>
      <w:r w:rsidRPr="0075071B">
        <w:rPr>
          <w:color w:val="000000" w:themeColor="text1"/>
          <w:u w:color="000000" w:themeColor="text1"/>
        </w:rPr>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00A17DD6">
        <w:rPr>
          <w:color w:val="000000" w:themeColor="text1"/>
          <w:u w:color="000000" w:themeColor="text1"/>
        </w:rPr>
        <w:noBreakHyphen/>
      </w:r>
      <w:r w:rsidRPr="0075071B">
        <w:rPr>
          <w:color w:val="000000" w:themeColor="text1"/>
          <w:u w:color="000000" w:themeColor="text1"/>
        </w:rPr>
        <w:t xml:space="preserve">five percent of the real property taxes due on the building site each year for up to eight years.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(4)</w:t>
      </w:r>
      <w:r w:rsidRPr="0075071B">
        <w:rPr>
          <w:color w:val="000000" w:themeColor="text1"/>
          <w:u w:color="000000" w:themeColor="text1"/>
        </w:rPr>
        <w:tab/>
        <w:t>Not fewer than forty</w:t>
      </w:r>
      <w:r w:rsidR="00A17DD6">
        <w:rPr>
          <w:color w:val="000000" w:themeColor="text1"/>
          <w:u w:color="000000" w:themeColor="text1"/>
        </w:rPr>
        <w:noBreakHyphen/>
      </w:r>
      <w:r w:rsidRPr="0075071B">
        <w:rPr>
          <w:color w:val="000000" w:themeColor="text1"/>
          <w:u w:color="000000" w:themeColor="text1"/>
        </w:rPr>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(5)</w:t>
      </w:r>
      <w:r w:rsidRPr="0075071B">
        <w:rPr>
          <w:color w:val="000000" w:themeColor="text1"/>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(D)</w:t>
      </w:r>
      <w:r w:rsidRPr="0075071B">
        <w:rPr>
          <w:color w:val="000000" w:themeColor="text1"/>
          <w:u w:color="000000" w:themeColor="text1"/>
        </w:rPr>
        <w:tab/>
        <w:t>A taxpayer is not eligible for the credit if the taxpayer owned the otherwise eligible building site when the site was operational and immediately prior to its abandonment.</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r>
      <w:r w:rsidR="0012686A">
        <w:rPr>
          <w:color w:val="000000" w:themeColor="text1"/>
          <w:u w:color="000000" w:themeColor="text1"/>
        </w:rPr>
        <w:t>Section</w:t>
      </w:r>
      <w:r>
        <w:rPr>
          <w:color w:val="000000" w:themeColor="text1"/>
          <w:u w:color="000000" w:themeColor="text1"/>
        </w:rPr>
        <w:tab/>
      </w:r>
      <w:r w:rsidR="0012686A">
        <w:rPr>
          <w:color w:val="000000" w:themeColor="text1"/>
          <w:u w:color="000000" w:themeColor="text1"/>
        </w:rPr>
        <w:t>12</w:t>
      </w:r>
      <w:r w:rsidR="00A17DD6">
        <w:rPr>
          <w:color w:val="000000" w:themeColor="text1"/>
          <w:u w:color="000000" w:themeColor="text1"/>
        </w:rPr>
        <w:noBreakHyphen/>
      </w:r>
      <w:r w:rsidR="0012686A">
        <w:rPr>
          <w:color w:val="000000" w:themeColor="text1"/>
          <w:u w:color="000000" w:themeColor="text1"/>
        </w:rPr>
        <w:t>67</w:t>
      </w:r>
      <w:r w:rsidR="00A17DD6">
        <w:rPr>
          <w:color w:val="000000" w:themeColor="text1"/>
          <w:u w:color="000000" w:themeColor="text1"/>
        </w:rPr>
        <w:noBreakHyphen/>
      </w:r>
      <w:r w:rsidR="0012686A">
        <w:rPr>
          <w:color w:val="000000" w:themeColor="text1"/>
          <w:u w:color="000000" w:themeColor="text1"/>
        </w:rPr>
        <w:t>1</w:t>
      </w:r>
      <w:r w:rsidRPr="0075071B">
        <w:rPr>
          <w:color w:val="000000" w:themeColor="text1"/>
          <w:u w:color="000000" w:themeColor="text1"/>
        </w:rPr>
        <w:t>5</w:t>
      </w:r>
      <w:r w:rsidR="0012686A">
        <w:rPr>
          <w:color w:val="000000" w:themeColor="text1"/>
          <w:u w:color="000000" w:themeColor="text1"/>
        </w:rPr>
        <w:t>0</w:t>
      </w:r>
      <w:r w:rsidRPr="0075071B">
        <w:rPr>
          <w:color w:val="000000" w:themeColor="text1"/>
          <w:u w:color="000000" w:themeColor="text1"/>
        </w:rPr>
        <w:t xml:space="preserve">. </w:t>
      </w:r>
      <w:r w:rsidRPr="0075071B">
        <w:rPr>
          <w:color w:val="000000" w:themeColor="text1"/>
          <w:u w:color="000000" w:themeColor="text1"/>
        </w:rPr>
        <w:tab/>
        <w:t>The provisions of Chapter 31, Title 6 also apply to this c</w:t>
      </w:r>
      <w:r w:rsidR="0012686A">
        <w:rPr>
          <w:color w:val="000000" w:themeColor="text1"/>
          <w:u w:color="000000" w:themeColor="text1"/>
        </w:rPr>
        <w:t>hapter, except that</w:t>
      </w:r>
      <w:r w:rsidRPr="0075071B">
        <w:rPr>
          <w:color w:val="000000" w:themeColor="text1"/>
          <w:u w:color="000000" w:themeColor="text1"/>
        </w:rPr>
        <w:t xml:space="preserve"> the requirements of Section 6</w:t>
      </w:r>
      <w:r w:rsidR="00A17DD6">
        <w:rPr>
          <w:color w:val="000000" w:themeColor="text1"/>
          <w:u w:color="000000" w:themeColor="text1"/>
        </w:rPr>
        <w:noBreakHyphen/>
      </w:r>
      <w:r w:rsidRPr="0075071B">
        <w:rPr>
          <w:color w:val="000000" w:themeColor="text1"/>
          <w:u w:color="000000" w:themeColor="text1"/>
        </w:rPr>
        <w:t>31</w:t>
      </w:r>
      <w:r w:rsidR="00A17DD6">
        <w:rPr>
          <w:color w:val="000000" w:themeColor="text1"/>
          <w:u w:color="000000" w:themeColor="text1"/>
        </w:rPr>
        <w:noBreakHyphen/>
      </w:r>
      <w:r w:rsidRPr="0075071B">
        <w:rPr>
          <w:color w:val="000000" w:themeColor="text1"/>
          <w:u w:color="000000" w:themeColor="text1"/>
        </w:rPr>
        <w:t>40 do not apply.</w:t>
      </w:r>
      <w:r w:rsidR="0012686A">
        <w:rPr>
          <w:color w:val="000000" w:themeColor="text1"/>
          <w:u w:color="000000" w:themeColor="text1"/>
        </w:rPr>
        <w:t>”</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71B">
        <w:rPr>
          <w:color w:val="000000" w:themeColor="text1"/>
          <w:u w:color="000000" w:themeColor="text1"/>
        </w:rPr>
        <w:tab/>
      </w:r>
      <w:r>
        <w:rPr>
          <w:color w:val="000000" w:themeColor="text1"/>
          <w:u w:color="000000" w:themeColor="text1"/>
        </w:rPr>
        <w:t>SECTION</w:t>
      </w:r>
      <w:r>
        <w:rPr>
          <w:color w:val="000000" w:themeColor="text1"/>
          <w:u w:color="000000" w:themeColor="text1"/>
        </w:rPr>
        <w:tab/>
      </w:r>
      <w:r w:rsidR="0012686A">
        <w:rPr>
          <w:color w:val="000000" w:themeColor="text1"/>
          <w:u w:color="000000" w:themeColor="text1"/>
        </w:rPr>
        <w:t>2</w:t>
      </w:r>
      <w:r w:rsidRPr="0075071B">
        <w:rPr>
          <w:color w:val="000000" w:themeColor="text1"/>
          <w:u w:color="000000" w:themeColor="text1"/>
        </w:rPr>
        <w:t>.</w:t>
      </w:r>
      <w:r w:rsidRPr="0075071B">
        <w:rPr>
          <w:color w:val="000000" w:themeColor="text1"/>
          <w:u w:color="000000" w:themeColor="text1"/>
        </w:rPr>
        <w:tab/>
        <w:t>This act takes effect upon approval by the Governor.</w:t>
      </w:r>
    </w:p>
    <w:p w:rsidR="00B65F9C" w:rsidRDefault="00A17D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F9C" w:rsidRDefault="00B65F9C" w:rsidP="008C5EB2">
      <w:pPr>
        <w:suppressAutoHyphens/>
      </w:pPr>
    </w:p>
    <w:sectPr w:rsidR="00B65F9C" w:rsidSect="00AC1F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806" w:rsidRDefault="00771806" w:rsidP="009F0C77">
      <w:r>
        <w:separator/>
      </w:r>
    </w:p>
  </w:endnote>
  <w:endnote w:type="continuationSeparator" w:id="0">
    <w:p w:rsidR="00771806" w:rsidRDefault="007718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10A9CD-88E5-460D-856A-ADC46381C5DC}"/>
    <w:embedBold r:id="rId2" w:fontKey="{1DAB77BF-06D7-492A-A8EC-65053207C874}"/>
    <w:embedItalic r:id="rId3" w:fontKey="{3A3F3825-7271-419B-A3EE-A6D03BC3A5F5}"/>
  </w:font>
  <w:font w:name="Calibri">
    <w:panose1 w:val="020F0502020204030204"/>
    <w:charset w:val="00"/>
    <w:family w:val="swiss"/>
    <w:pitch w:val="variable"/>
    <w:sig w:usb0="A00002EF" w:usb1="4000207B" w:usb2="00000000" w:usb3="00000000" w:csb0="0000009F" w:csb1="00000000"/>
    <w:embedRegular r:id="rId4" w:fontKey="{7DC33A15-3848-4E67-81F5-B645FB347290}"/>
  </w:font>
  <w:font w:name="Arial">
    <w:panose1 w:val="020B0604020202020204"/>
    <w:charset w:val="00"/>
    <w:family w:val="swiss"/>
    <w:pitch w:val="variable"/>
    <w:sig w:usb0="20002A87" w:usb1="80000000" w:usb2="00000008" w:usb3="00000000" w:csb0="000001FF" w:csb1="00000000"/>
    <w:embedBold r:id="rId5" w:fontKey="{6DF09E72-8600-44EF-987F-474DF3690217}"/>
  </w:font>
  <w:font w:name="Cambria">
    <w:panose1 w:val="02040503050406030204"/>
    <w:charset w:val="00"/>
    <w:family w:val="roman"/>
    <w:pitch w:val="variable"/>
    <w:sig w:usb0="A00002EF" w:usb1="4000004B" w:usb2="00000000" w:usb3="00000000" w:csb0="0000009F" w:csb1="00000000"/>
    <w:embedRegular r:id="rId6" w:fontKey="{C02F16C9-E329-4CD3-AA99-E2354E2FB3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49B" w:rsidRPr="00B65F9C" w:rsidRDefault="00B65F9C" w:rsidP="00B65F9C">
    <w:pPr>
      <w:pStyle w:val="Footer"/>
      <w:tabs>
        <w:tab w:val="clear" w:pos="4680"/>
        <w:tab w:val="clear" w:pos="9360"/>
        <w:tab w:val="center" w:pos="2995"/>
      </w:tabs>
      <w:spacing w:before="120"/>
    </w:pPr>
    <w:r>
      <w:t>[4802</w:t>
    </w:r>
    <w:r w:rsidR="00AC1F83">
      <w:t>-</w:t>
    </w:r>
    <w:fldSimple w:instr=" PAGE  \* MERGEFORMAT ">
      <w:r w:rsidR="008C5EB2">
        <w:rPr>
          <w:noProof/>
        </w:rPr>
        <w:t>3</w:t>
      </w:r>
    </w:fldSimple>
    <w:r w:rsidR="00AC1F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F83" w:rsidRPr="00B65F9C" w:rsidRDefault="00AC1F83" w:rsidP="00B65F9C">
    <w:pPr>
      <w:pStyle w:val="Footer"/>
      <w:tabs>
        <w:tab w:val="clear" w:pos="4680"/>
        <w:tab w:val="clear" w:pos="9360"/>
        <w:tab w:val="center" w:pos="2995"/>
      </w:tabs>
      <w:spacing w:before="120"/>
    </w:pPr>
    <w:r>
      <w:t>[4802]</w:t>
    </w:r>
    <w:r>
      <w:tab/>
    </w:r>
    <w:fldSimple w:instr=" PAGE  \* MERGEFORMAT ">
      <w:r w:rsidR="008C5E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806" w:rsidRDefault="00771806" w:rsidP="009F0C77">
      <w:r>
        <w:separator/>
      </w:r>
    </w:p>
  </w:footnote>
  <w:footnote w:type="continuationSeparator" w:id="0">
    <w:p w:rsidR="00771806" w:rsidRDefault="007718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54SD12"/>
    <w:docVar w:name="CoverBillType" w:val="b"/>
    <w:docVar w:name="docpath" w:val="L:\Council\bills\DKA\3954SD12.DOCX"/>
    <w:docVar w:name="dvBillNumber" w:val="4802"/>
    <w:docVar w:name="dvBillNumberPrefix" w:val="H. "/>
    <w:docVar w:name="dvOriginalBody" w:val="House"/>
    <w:docVar w:name="dvSteno" w:val="DKA"/>
    <w:docVar w:name="NameofBody" w:val="h"/>
    <w:docVar w:name="vgroup2" w:val="Council"/>
  </w:docVars>
  <w:rsids>
    <w:rsidRoot w:val="003E5399"/>
    <w:rsid w:val="00011869"/>
    <w:rsid w:val="000629B1"/>
    <w:rsid w:val="000645EF"/>
    <w:rsid w:val="000E1785"/>
    <w:rsid w:val="000F40FA"/>
    <w:rsid w:val="00106644"/>
    <w:rsid w:val="0010776B"/>
    <w:rsid w:val="0012686A"/>
    <w:rsid w:val="00133E66"/>
    <w:rsid w:val="001435A3"/>
    <w:rsid w:val="001D08F2"/>
    <w:rsid w:val="001D525B"/>
    <w:rsid w:val="001D7F4F"/>
    <w:rsid w:val="002321B6"/>
    <w:rsid w:val="00250967"/>
    <w:rsid w:val="002543C8"/>
    <w:rsid w:val="00284AAE"/>
    <w:rsid w:val="002C1B06"/>
    <w:rsid w:val="002E5912"/>
    <w:rsid w:val="00325348"/>
    <w:rsid w:val="0032732C"/>
    <w:rsid w:val="00336AD0"/>
    <w:rsid w:val="0037079A"/>
    <w:rsid w:val="003D01E8"/>
    <w:rsid w:val="003E5288"/>
    <w:rsid w:val="003E5399"/>
    <w:rsid w:val="003F6D79"/>
    <w:rsid w:val="0041760A"/>
    <w:rsid w:val="00417C01"/>
    <w:rsid w:val="004809EE"/>
    <w:rsid w:val="004E7D54"/>
    <w:rsid w:val="00500E0D"/>
    <w:rsid w:val="005273C6"/>
    <w:rsid w:val="00530A69"/>
    <w:rsid w:val="00531781"/>
    <w:rsid w:val="00545593"/>
    <w:rsid w:val="00577C6C"/>
    <w:rsid w:val="00592E9A"/>
    <w:rsid w:val="005C2FE2"/>
    <w:rsid w:val="005E2BC9"/>
    <w:rsid w:val="00605102"/>
    <w:rsid w:val="006215AA"/>
    <w:rsid w:val="0065428A"/>
    <w:rsid w:val="00655827"/>
    <w:rsid w:val="006913C9"/>
    <w:rsid w:val="0069470D"/>
    <w:rsid w:val="00734F00"/>
    <w:rsid w:val="00771806"/>
    <w:rsid w:val="007A70AE"/>
    <w:rsid w:val="008362E8"/>
    <w:rsid w:val="008A1768"/>
    <w:rsid w:val="008C5EB2"/>
    <w:rsid w:val="008F4429"/>
    <w:rsid w:val="0094021A"/>
    <w:rsid w:val="00986690"/>
    <w:rsid w:val="009C6A0B"/>
    <w:rsid w:val="009F0C77"/>
    <w:rsid w:val="009F4DD1"/>
    <w:rsid w:val="00A11BB4"/>
    <w:rsid w:val="00A17DD6"/>
    <w:rsid w:val="00A41684"/>
    <w:rsid w:val="00A64E80"/>
    <w:rsid w:val="00A72BCD"/>
    <w:rsid w:val="00A741D9"/>
    <w:rsid w:val="00A833AB"/>
    <w:rsid w:val="00A9741D"/>
    <w:rsid w:val="00AC1F83"/>
    <w:rsid w:val="00AD4B17"/>
    <w:rsid w:val="00B21106"/>
    <w:rsid w:val="00B412D4"/>
    <w:rsid w:val="00B65F9C"/>
    <w:rsid w:val="00BA73E0"/>
    <w:rsid w:val="00BE3C22"/>
    <w:rsid w:val="00BF0403"/>
    <w:rsid w:val="00C0345E"/>
    <w:rsid w:val="00C3483A"/>
    <w:rsid w:val="00C74E9D"/>
    <w:rsid w:val="00C82FD3"/>
    <w:rsid w:val="00C92819"/>
    <w:rsid w:val="00CC56E8"/>
    <w:rsid w:val="00CC6B7B"/>
    <w:rsid w:val="00CD2089"/>
    <w:rsid w:val="00D73A67"/>
    <w:rsid w:val="00D970A9"/>
    <w:rsid w:val="00DD04BD"/>
    <w:rsid w:val="00DF3845"/>
    <w:rsid w:val="00E41911"/>
    <w:rsid w:val="00E92EEF"/>
    <w:rsid w:val="00ED4281"/>
    <w:rsid w:val="00ED449B"/>
    <w:rsid w:val="00F17550"/>
    <w:rsid w:val="00F24442"/>
    <w:rsid w:val="00F50AE3"/>
    <w:rsid w:val="00F67CF1"/>
    <w:rsid w:val="00F840F0"/>
    <w:rsid w:val="00FB0D0D"/>
    <w:rsid w:val="00FB1FFC"/>
    <w:rsid w:val="00FB43B4"/>
    <w:rsid w:val="00FD3E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AC1F83"/>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AC1F83"/>
    <w:rPr>
      <w:rFonts w:ascii="Arial" w:eastAsia="Times New Roman" w:hAnsi="Arial" w:cs="Times New Roman"/>
      <w:b/>
      <w:snapToGrid w:val="0"/>
      <w:sz w:val="24"/>
      <w:szCs w:val="20"/>
    </w:rPr>
  </w:style>
  <w:style w:type="character" w:styleId="FollowedHyperlink">
    <w:name w:val="FollowedHyperlink"/>
    <w:basedOn w:val="DefaultParagraphFont"/>
    <w:uiPriority w:val="99"/>
    <w:semiHidden/>
    <w:unhideWhenUsed/>
    <w:rsid w:val="006558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EA5D8-C31D-4859-B816-B8A784E47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3268</Words>
  <Characters>17358</Characters>
  <Application>Microsoft Office Word</Application>
  <DocSecurity>0</DocSecurity>
  <Lines>394</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2012-02-08T21:30:00Z</cp:lastPrinted>
  <dcterms:created xsi:type="dcterms:W3CDTF">2012-03-28T23:44:00Z</dcterms:created>
  <dcterms:modified xsi:type="dcterms:W3CDTF">2012-03-28T23:44:00Z</dcterms:modified>
</cp:coreProperties>
</file>