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A93" w:rsidRDefault="00DC2A93" w:rsidP="00DC2A93">
      <w:pPr>
        <w:widowControl w:val="0"/>
        <w:jc w:val="center"/>
      </w:pPr>
      <w:r w:rsidRPr="00DC2A93">
        <w:rPr>
          <w:b/>
        </w:rPr>
        <w:t>South Carolina General Assembly</w:t>
      </w:r>
    </w:p>
    <w:p w:rsidR="00DC2A93" w:rsidRDefault="00DC2A93" w:rsidP="00DC2A93">
      <w:pPr>
        <w:widowControl w:val="0"/>
        <w:jc w:val="center"/>
      </w:pPr>
      <w:r>
        <w:t>120th Session, 2013-2014</w:t>
      </w:r>
    </w:p>
    <w:p w:rsidR="00DC2A93" w:rsidRDefault="00DC2A93" w:rsidP="00DC2A93">
      <w:pPr>
        <w:widowControl w:val="0"/>
        <w:jc w:val="left"/>
      </w:pPr>
    </w:p>
    <w:p w:rsidR="00DC2A93" w:rsidRDefault="00DC2A93" w:rsidP="00DC2A93">
      <w:pPr>
        <w:widowControl w:val="0"/>
        <w:jc w:val="left"/>
        <w:rPr>
          <w:b/>
        </w:rPr>
      </w:pPr>
      <w:r w:rsidRPr="00DC2A93">
        <w:rPr>
          <w:b/>
        </w:rPr>
        <w:t>S.</w:t>
      </w:r>
      <w:r>
        <w:rPr>
          <w:b/>
        </w:rPr>
        <w:t xml:space="preserve"> </w:t>
      </w:r>
      <w:r w:rsidRPr="00DC2A93">
        <w:rPr>
          <w:b/>
        </w:rPr>
        <w:t>375</w:t>
      </w:r>
    </w:p>
    <w:p w:rsidR="00DC2A93" w:rsidRDefault="00DC2A93" w:rsidP="00DC2A93">
      <w:pPr>
        <w:widowControl w:val="0"/>
        <w:jc w:val="left"/>
        <w:rPr>
          <w:b/>
        </w:rPr>
      </w:pPr>
    </w:p>
    <w:p w:rsidR="00DC2A93" w:rsidRDefault="00DC2A93" w:rsidP="00DC2A93">
      <w:pPr>
        <w:widowControl w:val="0"/>
        <w:jc w:val="left"/>
      </w:pPr>
      <w:r w:rsidRPr="00DC2A93">
        <w:rPr>
          <w:b/>
        </w:rPr>
        <w:t>STATUS INFORMATION</w:t>
      </w:r>
    </w:p>
    <w:p w:rsidR="00DC2A93" w:rsidRDefault="00DC2A93" w:rsidP="00DC2A93">
      <w:pPr>
        <w:widowControl w:val="0"/>
        <w:jc w:val="left"/>
      </w:pPr>
    </w:p>
    <w:p w:rsidR="00DC2A93" w:rsidRDefault="00DC2A93" w:rsidP="00DC2A93">
      <w:pPr>
        <w:widowControl w:val="0"/>
        <w:jc w:val="left"/>
      </w:pPr>
      <w:r>
        <w:t>General Bill</w:t>
      </w:r>
    </w:p>
    <w:p w:rsidR="00DC2A93" w:rsidRDefault="00680A41" w:rsidP="00DC2A93">
      <w:pPr>
        <w:widowControl w:val="0"/>
        <w:jc w:val="left"/>
      </w:pPr>
      <w:r>
        <w:t>Sponsors: Senators Hutto, L. Martin, Johnson and Rankin</w:t>
      </w:r>
    </w:p>
    <w:p w:rsidR="00DC2A93" w:rsidRDefault="00DC2A93" w:rsidP="00DC2A93">
      <w:pPr>
        <w:widowControl w:val="0"/>
        <w:jc w:val="left"/>
      </w:pPr>
      <w:r>
        <w:t>Document Path: l:\council\bills\ggs\22524zw13.docx</w:t>
      </w:r>
    </w:p>
    <w:p w:rsidR="00563D13" w:rsidRDefault="00563D13" w:rsidP="00DC2A93">
      <w:pPr>
        <w:widowControl w:val="0"/>
        <w:jc w:val="left"/>
      </w:pPr>
      <w:r>
        <w:t>Companion/Similar bill(s): 3948</w:t>
      </w:r>
    </w:p>
    <w:p w:rsidR="00DC2A93" w:rsidRDefault="00DC2A93" w:rsidP="00DC2A93">
      <w:pPr>
        <w:widowControl w:val="0"/>
        <w:jc w:val="left"/>
      </w:pPr>
    </w:p>
    <w:p w:rsidR="00BD7189" w:rsidRDefault="00BD7189" w:rsidP="00DC2A93">
      <w:pPr>
        <w:widowControl w:val="0"/>
        <w:jc w:val="left"/>
      </w:pPr>
      <w:r>
        <w:t>Introduced in the Senate on February 12, 2013</w:t>
      </w:r>
    </w:p>
    <w:p w:rsidR="00BD7189" w:rsidRDefault="00BD7189" w:rsidP="00DC2A93">
      <w:pPr>
        <w:widowControl w:val="0"/>
        <w:jc w:val="left"/>
      </w:pPr>
      <w:r>
        <w:t>Introduced in the House on June 3, 2014</w:t>
      </w:r>
    </w:p>
    <w:p w:rsidR="00BD7189" w:rsidRDefault="00BD7189" w:rsidP="00DC2A93">
      <w:pPr>
        <w:widowControl w:val="0"/>
        <w:jc w:val="left"/>
      </w:pPr>
      <w:r>
        <w:t>Last Amended on May 1, 2014</w:t>
      </w:r>
    </w:p>
    <w:p w:rsidR="00BD7189" w:rsidRDefault="00BD7189" w:rsidP="00DC2A93">
      <w:pPr>
        <w:widowControl w:val="0"/>
        <w:jc w:val="left"/>
      </w:pPr>
      <w:r>
        <w:t>Currently residing in the House</w:t>
      </w:r>
    </w:p>
    <w:p w:rsidR="00BD7189" w:rsidRDefault="00BD7189" w:rsidP="00DC2A93">
      <w:pPr>
        <w:widowControl w:val="0"/>
        <w:jc w:val="left"/>
      </w:pPr>
    </w:p>
    <w:p w:rsidR="00DC2A93" w:rsidRDefault="00DC2A93" w:rsidP="00DC2A93">
      <w:pPr>
        <w:widowControl w:val="0"/>
        <w:jc w:val="left"/>
      </w:pPr>
      <w:r>
        <w:t xml:space="preserve">Summary: </w:t>
      </w:r>
      <w:r w:rsidR="004F3A7D">
        <w:t>Dilapidated Buildings Act</w:t>
      </w:r>
    </w:p>
    <w:p w:rsidR="00DC2A93" w:rsidRDefault="00DC2A93" w:rsidP="00DC2A93">
      <w:pPr>
        <w:widowControl w:val="0"/>
        <w:jc w:val="left"/>
      </w:pPr>
    </w:p>
    <w:p w:rsidR="00DC2A93" w:rsidRDefault="00DC2A93" w:rsidP="00DC2A93">
      <w:pPr>
        <w:widowControl w:val="0"/>
        <w:jc w:val="left"/>
      </w:pPr>
    </w:p>
    <w:p w:rsidR="00DC2A93" w:rsidRDefault="00DC2A93" w:rsidP="00DC2A93">
      <w:pPr>
        <w:widowControl w:val="0"/>
        <w:tabs>
          <w:tab w:val="center" w:pos="590"/>
          <w:tab w:val="center" w:pos="1440"/>
          <w:tab w:val="left" w:pos="1872"/>
          <w:tab w:val="left" w:pos="9187"/>
        </w:tabs>
        <w:jc w:val="left"/>
      </w:pPr>
      <w:r w:rsidRPr="00DC2A93">
        <w:rPr>
          <w:b/>
        </w:rPr>
        <w:t>HISTORY OF LEGISLATIVE ACTIONS</w:t>
      </w:r>
    </w:p>
    <w:p w:rsidR="00DC2A93" w:rsidRDefault="00DC2A93" w:rsidP="00DC2A93">
      <w:pPr>
        <w:widowControl w:val="0"/>
        <w:tabs>
          <w:tab w:val="center" w:pos="590"/>
          <w:tab w:val="center" w:pos="1440"/>
          <w:tab w:val="left" w:pos="1872"/>
          <w:tab w:val="left" w:pos="9187"/>
        </w:tabs>
        <w:jc w:val="left"/>
      </w:pPr>
    </w:p>
    <w:p w:rsidR="00DC2A93" w:rsidRPr="00DC2A93" w:rsidRDefault="00DC2A93" w:rsidP="00DC2A93">
      <w:pPr>
        <w:widowControl w:val="0"/>
        <w:tabs>
          <w:tab w:val="center" w:pos="590"/>
          <w:tab w:val="center" w:pos="1440"/>
          <w:tab w:val="left" w:pos="1872"/>
          <w:tab w:val="left" w:pos="9187"/>
        </w:tabs>
        <w:jc w:val="left"/>
      </w:pPr>
      <w:bookmarkStart w:id="0" w:name="_GoBack"/>
      <w:r w:rsidRPr="00DC2A93">
        <w:rPr>
          <w:u w:val="single"/>
        </w:rPr>
        <w:tab/>
        <w:t>Date</w:t>
      </w:r>
      <w:r w:rsidRPr="00DC2A93">
        <w:rPr>
          <w:u w:val="single"/>
        </w:rPr>
        <w:tab/>
        <w:t>Body</w:t>
      </w:r>
      <w:r w:rsidRPr="00DC2A93">
        <w:rPr>
          <w:u w:val="single"/>
        </w:rPr>
        <w:tab/>
        <w:t>Action Description with journal page number</w:t>
      </w:r>
      <w:r w:rsidRPr="00DC2A93">
        <w:rPr>
          <w:u w:val="single"/>
        </w:rPr>
        <w:tab/>
      </w:r>
      <w:bookmarkEnd w:id="0"/>
    </w:p>
    <w:p w:rsidR="006558BB" w:rsidRDefault="006558BB" w:rsidP="006558BB">
      <w:pPr>
        <w:widowControl w:val="0"/>
        <w:tabs>
          <w:tab w:val="right" w:pos="1008"/>
          <w:tab w:val="left" w:pos="1152"/>
          <w:tab w:val="left" w:pos="1872"/>
          <w:tab w:val="left" w:pos="9187"/>
        </w:tabs>
        <w:ind w:left="2088" w:hanging="2088"/>
        <w:jc w:val="left"/>
      </w:pPr>
      <w:r>
        <w:tab/>
        <w:t>2/12/2013</w:t>
      </w:r>
      <w:r>
        <w:tab/>
        <w:t>Senate</w:t>
      </w:r>
      <w:r>
        <w:tab/>
      </w:r>
      <w:r w:rsidRPr="009A5291">
        <w:t>Introduced and read first time (</w:t>
      </w:r>
      <w:hyperlink r:id="rId7" w:history="1">
        <w:r w:rsidRPr="009A5291">
          <w:rPr>
            <w:rStyle w:val="Hyperlink"/>
          </w:rPr>
          <w:t>Senate Journal</w:t>
        </w:r>
        <w:r w:rsidRPr="009A5291">
          <w:rPr>
            <w:rStyle w:val="Hyperlink"/>
          </w:rPr>
          <w:noBreakHyphen/>
          <w:t>page 8</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2/12/2013</w:t>
      </w:r>
      <w:r>
        <w:tab/>
        <w:t>Senate</w:t>
      </w:r>
      <w:r>
        <w:tab/>
      </w:r>
      <w:r w:rsidRPr="009A5291">
        <w:t>Ref</w:t>
      </w:r>
      <w:r>
        <w:t xml:space="preserve">erred to Committee on </w:t>
      </w:r>
      <w:r w:rsidRPr="009A5291">
        <w:rPr>
          <w:b/>
        </w:rPr>
        <w:t>Judiciary</w:t>
      </w:r>
      <w:r>
        <w:t xml:space="preserve"> </w:t>
      </w:r>
      <w:r w:rsidRPr="009A5291">
        <w:t>(</w:t>
      </w:r>
      <w:hyperlink r:id="rId8" w:history="1">
        <w:r w:rsidRPr="009A5291">
          <w:rPr>
            <w:rStyle w:val="Hyperlink"/>
          </w:rPr>
          <w:t>Senate Journal</w:t>
        </w:r>
        <w:r w:rsidRPr="009A5291">
          <w:rPr>
            <w:rStyle w:val="Hyperlink"/>
          </w:rPr>
          <w:noBreakHyphen/>
          <w:t>page 8</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1/9/2014</w:t>
      </w:r>
      <w:r>
        <w:tab/>
        <w:t>Senate</w:t>
      </w:r>
      <w:r>
        <w:tab/>
      </w:r>
      <w:r w:rsidRPr="009A5291">
        <w:t>Referred to Subcommittee: Hutto (ch), Gregory, Thurmond</w:t>
      </w:r>
    </w:p>
    <w:p w:rsidR="006558BB" w:rsidRDefault="006558BB" w:rsidP="006558BB">
      <w:pPr>
        <w:widowControl w:val="0"/>
        <w:tabs>
          <w:tab w:val="right" w:pos="1008"/>
          <w:tab w:val="left" w:pos="1152"/>
          <w:tab w:val="left" w:pos="1872"/>
          <w:tab w:val="left" w:pos="9187"/>
        </w:tabs>
        <w:ind w:left="2088" w:hanging="2088"/>
        <w:jc w:val="left"/>
      </w:pPr>
      <w:r>
        <w:tab/>
        <w:t>3/19/2014</w:t>
      </w:r>
      <w:r>
        <w:tab/>
        <w:t>Senate</w:t>
      </w:r>
      <w:r>
        <w:tab/>
      </w:r>
      <w:r w:rsidRPr="009A5291">
        <w:t xml:space="preserve">Committee report: </w:t>
      </w:r>
      <w:r>
        <w:t xml:space="preserve">Majority favorable with amend., minority unfavorable </w:t>
      </w:r>
      <w:r w:rsidRPr="009A5291">
        <w:rPr>
          <w:b/>
        </w:rPr>
        <w:t>Judiciary</w:t>
      </w:r>
      <w:r>
        <w:t xml:space="preserve"> </w:t>
      </w:r>
      <w:r w:rsidRPr="009A5291">
        <w:t>(</w:t>
      </w:r>
      <w:hyperlink r:id="rId9" w:history="1">
        <w:r w:rsidRPr="009A5291">
          <w:rPr>
            <w:rStyle w:val="Hyperlink"/>
          </w:rPr>
          <w:t>Senate Journal</w:t>
        </w:r>
        <w:r w:rsidRPr="009A5291">
          <w:rPr>
            <w:rStyle w:val="Hyperlink"/>
          </w:rPr>
          <w:noBreakHyphen/>
          <w:t>page 11</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3/20/2014</w:t>
      </w:r>
      <w:r>
        <w:tab/>
      </w:r>
      <w:r>
        <w:tab/>
      </w:r>
      <w:r w:rsidRPr="009A5291">
        <w:t>Scrivener's error corrected</w:t>
      </w:r>
    </w:p>
    <w:p w:rsidR="006558BB" w:rsidRDefault="006558BB" w:rsidP="006558BB">
      <w:pPr>
        <w:widowControl w:val="0"/>
        <w:tabs>
          <w:tab w:val="right" w:pos="1008"/>
          <w:tab w:val="left" w:pos="1152"/>
          <w:tab w:val="left" w:pos="1872"/>
          <w:tab w:val="left" w:pos="9187"/>
        </w:tabs>
        <w:ind w:left="2088" w:hanging="2088"/>
        <w:jc w:val="left"/>
      </w:pPr>
      <w:r>
        <w:tab/>
        <w:t>4/30/2014</w:t>
      </w:r>
      <w:r>
        <w:tab/>
        <w:t>Senate</w:t>
      </w:r>
      <w:r>
        <w:tab/>
      </w:r>
      <w:r w:rsidRPr="009A5291">
        <w:t>Committee Amendment Amended (</w:t>
      </w:r>
      <w:hyperlink r:id="rId10" w:history="1">
        <w:r w:rsidRPr="009A5291">
          <w:rPr>
            <w:rStyle w:val="Hyperlink"/>
          </w:rPr>
          <w:t>Senate Journal</w:t>
        </w:r>
        <w:r w:rsidRPr="009A5291">
          <w:rPr>
            <w:rStyle w:val="Hyperlink"/>
          </w:rPr>
          <w:noBreakHyphen/>
          <w:t>page 46</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5/1/2014</w:t>
      </w:r>
      <w:r>
        <w:tab/>
        <w:t>Senate</w:t>
      </w:r>
      <w:r>
        <w:tab/>
      </w:r>
      <w:r w:rsidRPr="009A5291">
        <w:t>Committe</w:t>
      </w:r>
      <w:r>
        <w:t xml:space="preserve">e Amendment Amended and Adopted </w:t>
      </w:r>
      <w:r w:rsidRPr="009A5291">
        <w:t>(</w:t>
      </w:r>
      <w:hyperlink r:id="rId11" w:history="1">
        <w:r w:rsidRPr="009A5291">
          <w:rPr>
            <w:rStyle w:val="Hyperlink"/>
          </w:rPr>
          <w:t>Senate Journal</w:t>
        </w:r>
        <w:r w:rsidRPr="009A5291">
          <w:rPr>
            <w:rStyle w:val="Hyperlink"/>
          </w:rPr>
          <w:noBreakHyphen/>
          <w:t>page 46</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5/2/2014</w:t>
      </w:r>
      <w:r>
        <w:tab/>
      </w:r>
      <w:r>
        <w:tab/>
      </w:r>
      <w:r w:rsidRPr="009A5291">
        <w:t>Scrivener's error corrected</w:t>
      </w:r>
    </w:p>
    <w:p w:rsidR="006558BB" w:rsidRDefault="006558BB" w:rsidP="006558BB">
      <w:pPr>
        <w:widowControl w:val="0"/>
        <w:tabs>
          <w:tab w:val="right" w:pos="1008"/>
          <w:tab w:val="left" w:pos="1152"/>
          <w:tab w:val="left" w:pos="1872"/>
          <w:tab w:val="left" w:pos="9187"/>
        </w:tabs>
        <w:ind w:left="2088" w:hanging="2088"/>
        <w:jc w:val="left"/>
      </w:pPr>
      <w:r>
        <w:tab/>
        <w:t>5/22/2014</w:t>
      </w:r>
      <w:r>
        <w:tab/>
        <w:t>Senate</w:t>
      </w:r>
      <w:r>
        <w:tab/>
      </w:r>
      <w:r w:rsidRPr="009A5291">
        <w:t>Read second time (</w:t>
      </w:r>
      <w:hyperlink r:id="rId12" w:history="1">
        <w:r w:rsidRPr="009A5291">
          <w:rPr>
            <w:rStyle w:val="Hyperlink"/>
          </w:rPr>
          <w:t>Senate Journal</w:t>
        </w:r>
        <w:r w:rsidRPr="009A5291">
          <w:rPr>
            <w:rStyle w:val="Hyperlink"/>
          </w:rPr>
          <w:noBreakHyphen/>
          <w:t>page 51</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5/22/2014</w:t>
      </w:r>
      <w:r>
        <w:tab/>
        <w:t>Senate</w:t>
      </w:r>
      <w:r>
        <w:tab/>
      </w:r>
      <w:r w:rsidRPr="009A5291">
        <w:t>Roll call Ayes</w:t>
      </w:r>
      <w:r>
        <w:noBreakHyphen/>
      </w:r>
      <w:r w:rsidRPr="009A5291">
        <w:t>29  Nays</w:t>
      </w:r>
      <w:r>
        <w:noBreakHyphen/>
      </w:r>
      <w:r w:rsidRPr="009A5291">
        <w:t>8 (</w:t>
      </w:r>
      <w:hyperlink r:id="rId13" w:history="1">
        <w:r w:rsidRPr="009A5291">
          <w:rPr>
            <w:rStyle w:val="Hyperlink"/>
          </w:rPr>
          <w:t>Senate Journal</w:t>
        </w:r>
        <w:r w:rsidRPr="009A5291">
          <w:rPr>
            <w:rStyle w:val="Hyperlink"/>
          </w:rPr>
          <w:noBreakHyphen/>
          <w:t>page 51</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6/3/2014</w:t>
      </w:r>
      <w:r>
        <w:tab/>
        <w:t>Senate</w:t>
      </w:r>
      <w:r>
        <w:tab/>
      </w:r>
      <w:r w:rsidRPr="009A5291">
        <w:t>Re</w:t>
      </w:r>
      <w:r>
        <w:t xml:space="preserve">ad third time and sent to House </w:t>
      </w:r>
      <w:r w:rsidRPr="009A5291">
        <w:t>(</w:t>
      </w:r>
      <w:hyperlink r:id="rId14" w:history="1">
        <w:r w:rsidRPr="009A5291">
          <w:rPr>
            <w:rStyle w:val="Hyperlink"/>
          </w:rPr>
          <w:t>Senate Journal</w:t>
        </w:r>
        <w:r w:rsidRPr="009A5291">
          <w:rPr>
            <w:rStyle w:val="Hyperlink"/>
          </w:rPr>
          <w:noBreakHyphen/>
          <w:t>page 25</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6/3/2014</w:t>
      </w:r>
      <w:r>
        <w:tab/>
        <w:t>House</w:t>
      </w:r>
      <w:r>
        <w:tab/>
      </w:r>
      <w:r w:rsidRPr="009A5291">
        <w:t>Introduced and read first time (</w:t>
      </w:r>
      <w:hyperlink r:id="rId15" w:history="1">
        <w:r w:rsidRPr="009A5291">
          <w:rPr>
            <w:rStyle w:val="Hyperlink"/>
          </w:rPr>
          <w:t>House Journal</w:t>
        </w:r>
        <w:r w:rsidRPr="009A5291">
          <w:rPr>
            <w:rStyle w:val="Hyperlink"/>
          </w:rPr>
          <w:noBreakHyphen/>
          <w:t>page 54</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6/3/2014</w:t>
      </w:r>
      <w:r>
        <w:tab/>
        <w:t>House</w:t>
      </w:r>
      <w:r>
        <w:tab/>
      </w:r>
      <w:r w:rsidRPr="009A5291">
        <w:t>Ref</w:t>
      </w:r>
      <w:r>
        <w:t xml:space="preserve">erred to Committee on </w:t>
      </w:r>
      <w:r w:rsidRPr="009A5291">
        <w:rPr>
          <w:b/>
        </w:rPr>
        <w:t>Judiciary</w:t>
      </w:r>
      <w:r>
        <w:t xml:space="preserve"> </w:t>
      </w:r>
      <w:r w:rsidRPr="009A5291">
        <w:t>(</w:t>
      </w:r>
      <w:hyperlink r:id="rId16" w:history="1">
        <w:r w:rsidRPr="009A5291">
          <w:rPr>
            <w:rStyle w:val="Hyperlink"/>
          </w:rPr>
          <w:t>House Journal</w:t>
        </w:r>
        <w:r w:rsidRPr="009A5291">
          <w:rPr>
            <w:rStyle w:val="Hyperlink"/>
          </w:rPr>
          <w:noBreakHyphen/>
          <w:t>page 54</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6/4/2014</w:t>
      </w:r>
      <w:r>
        <w:tab/>
        <w:t>House</w:t>
      </w:r>
      <w:r>
        <w:tab/>
      </w:r>
      <w:r w:rsidRPr="009A5291">
        <w:t>Recal</w:t>
      </w:r>
      <w:r>
        <w:t xml:space="preserve">led from Committee on </w:t>
      </w:r>
      <w:r w:rsidRPr="009A5291">
        <w:rPr>
          <w:b/>
        </w:rPr>
        <w:t>Judiciary</w:t>
      </w:r>
      <w:r>
        <w:t xml:space="preserve"> </w:t>
      </w:r>
      <w:r w:rsidRPr="009A5291">
        <w:t>(</w:t>
      </w:r>
      <w:hyperlink r:id="rId17" w:history="1">
        <w:r w:rsidRPr="009A5291">
          <w:rPr>
            <w:rStyle w:val="Hyperlink"/>
          </w:rPr>
          <w:t>House Journal</w:t>
        </w:r>
        <w:r w:rsidRPr="009A5291">
          <w:rPr>
            <w:rStyle w:val="Hyperlink"/>
          </w:rPr>
          <w:noBreakHyphen/>
          <w:t>page 28</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r>
        <w:tab/>
        <w:t>6/5/2014</w:t>
      </w:r>
      <w:r>
        <w:tab/>
      </w:r>
      <w:r>
        <w:tab/>
      </w:r>
      <w:r w:rsidRPr="009A5291">
        <w:t>Scrivener's error corrected</w:t>
      </w:r>
    </w:p>
    <w:p w:rsidR="006558BB" w:rsidRDefault="006558BB" w:rsidP="006558BB">
      <w:pPr>
        <w:widowControl w:val="0"/>
        <w:tabs>
          <w:tab w:val="right" w:pos="1008"/>
          <w:tab w:val="left" w:pos="1152"/>
          <w:tab w:val="left" w:pos="1872"/>
          <w:tab w:val="left" w:pos="9187"/>
        </w:tabs>
        <w:ind w:left="2088" w:hanging="2088"/>
        <w:jc w:val="left"/>
      </w:pPr>
      <w:r>
        <w:tab/>
        <w:t>6/5/2014</w:t>
      </w:r>
      <w:r>
        <w:tab/>
        <w:t>House</w:t>
      </w:r>
      <w:r>
        <w:tab/>
      </w:r>
      <w:r w:rsidRPr="009A5291">
        <w:t>Debate adjourned (</w:t>
      </w:r>
      <w:hyperlink r:id="rId18" w:history="1">
        <w:r w:rsidRPr="009A5291">
          <w:rPr>
            <w:rStyle w:val="Hyperlink"/>
          </w:rPr>
          <w:t>House Journal</w:t>
        </w:r>
        <w:r w:rsidRPr="009A5291">
          <w:rPr>
            <w:rStyle w:val="Hyperlink"/>
          </w:rPr>
          <w:noBreakHyphen/>
          <w:t>page 17</w:t>
        </w:r>
      </w:hyperlink>
      <w:r w:rsidRPr="009A5291">
        <w:t>)</w:t>
      </w:r>
    </w:p>
    <w:p w:rsidR="006558BB" w:rsidRDefault="006558BB" w:rsidP="006558BB">
      <w:pPr>
        <w:widowControl w:val="0"/>
        <w:tabs>
          <w:tab w:val="right" w:pos="1008"/>
          <w:tab w:val="left" w:pos="1152"/>
          <w:tab w:val="left" w:pos="1872"/>
          <w:tab w:val="left" w:pos="9187"/>
        </w:tabs>
        <w:ind w:left="2088" w:hanging="2088"/>
        <w:jc w:val="left"/>
      </w:pPr>
    </w:p>
    <w:p w:rsidR="00DC2A93" w:rsidRPr="00DC2A93" w:rsidRDefault="00DC2A93" w:rsidP="00DC2A93">
      <w:pPr>
        <w:widowControl w:val="0"/>
        <w:tabs>
          <w:tab w:val="right" w:pos="1008"/>
          <w:tab w:val="left" w:pos="1152"/>
          <w:tab w:val="left" w:pos="1872"/>
          <w:tab w:val="left" w:pos="9187"/>
        </w:tabs>
        <w:ind w:left="2088" w:hanging="2088"/>
        <w:jc w:val="left"/>
      </w:pPr>
    </w:p>
    <w:p w:rsidR="00DC2A93" w:rsidRDefault="00DC2A93" w:rsidP="00DC2A93">
      <w:pPr>
        <w:widowControl w:val="0"/>
        <w:jc w:val="left"/>
      </w:pPr>
      <w:r w:rsidRPr="00DC2A93">
        <w:rPr>
          <w:b/>
        </w:rPr>
        <w:t>VERSIONS OF THIS BILL</w:t>
      </w:r>
    </w:p>
    <w:p w:rsidR="00DC2A93" w:rsidRDefault="00DC2A93" w:rsidP="00DC2A93">
      <w:pPr>
        <w:widowControl w:val="0"/>
        <w:jc w:val="left"/>
      </w:pPr>
    </w:p>
    <w:p w:rsidR="00DC2A93" w:rsidRDefault="00B12948" w:rsidP="00DC2A93">
      <w:pPr>
        <w:widowControl w:val="0"/>
        <w:jc w:val="left"/>
      </w:pPr>
      <w:hyperlink r:id="rId19" w:history="1">
        <w:r w:rsidR="00DC2A93">
          <w:rPr>
            <w:rStyle w:val="Hyperlink"/>
          </w:rPr>
          <w:t>2/12/2013</w:t>
        </w:r>
      </w:hyperlink>
    </w:p>
    <w:p w:rsidR="00C16106" w:rsidRDefault="00B12948" w:rsidP="00DC2A93">
      <w:hyperlink r:id="rId20" w:history="1">
        <w:r w:rsidR="00C16106" w:rsidRPr="00C16106">
          <w:rPr>
            <w:rStyle w:val="Hyperlink"/>
          </w:rPr>
          <w:t>3/19/2014</w:t>
        </w:r>
      </w:hyperlink>
    </w:p>
    <w:p w:rsidR="004853B1" w:rsidRDefault="00B12948" w:rsidP="00DC2A93">
      <w:hyperlink r:id="rId21" w:history="1">
        <w:r w:rsidR="004853B1" w:rsidRPr="004853B1">
          <w:rPr>
            <w:rStyle w:val="Hyperlink"/>
          </w:rPr>
          <w:t>3/20/2014</w:t>
        </w:r>
      </w:hyperlink>
    </w:p>
    <w:p w:rsidR="00314E53" w:rsidRDefault="00B12948" w:rsidP="00DC2A93">
      <w:hyperlink r:id="rId22" w:history="1">
        <w:r w:rsidR="00314E53" w:rsidRPr="00314E53">
          <w:rPr>
            <w:rStyle w:val="Hyperlink"/>
          </w:rPr>
          <w:t>5/1/2014</w:t>
        </w:r>
      </w:hyperlink>
    </w:p>
    <w:p w:rsidR="00515ED6" w:rsidRDefault="00B12948" w:rsidP="00DC2A93">
      <w:hyperlink r:id="rId23" w:history="1">
        <w:r w:rsidR="00515ED6" w:rsidRPr="00515ED6">
          <w:rPr>
            <w:rStyle w:val="Hyperlink"/>
          </w:rPr>
          <w:t>5/2/2014</w:t>
        </w:r>
      </w:hyperlink>
    </w:p>
    <w:p w:rsidR="00617061" w:rsidRDefault="00B12948" w:rsidP="00DC2A93">
      <w:hyperlink r:id="rId24" w:history="1">
        <w:r w:rsidR="00617061" w:rsidRPr="00617061">
          <w:rPr>
            <w:rStyle w:val="Hyperlink"/>
          </w:rPr>
          <w:t>6/4/2014</w:t>
        </w:r>
      </w:hyperlink>
    </w:p>
    <w:p w:rsidR="00147DAF" w:rsidRDefault="00B12948" w:rsidP="00DC2A93">
      <w:hyperlink r:id="rId25" w:history="1">
        <w:r w:rsidR="00147DAF" w:rsidRPr="00147DAF">
          <w:rPr>
            <w:rStyle w:val="Hyperlink"/>
          </w:rPr>
          <w:t>6/5/2014</w:t>
        </w:r>
      </w:hyperlink>
    </w:p>
    <w:p w:rsidR="00DC2A93" w:rsidRDefault="00DC2A93" w:rsidP="00DC2A93"/>
    <w:p w:rsidR="00DC2A93" w:rsidRDefault="00DC2A93" w:rsidP="00DC2A93">
      <w:pPr>
        <w:sectPr w:rsidR="00DC2A93" w:rsidSect="00DC2A93">
          <w:pgSz w:w="12240" w:h="15840" w:code="1"/>
          <w:pgMar w:top="1080" w:right="1440" w:bottom="1080" w:left="1440" w:header="720" w:footer="720" w:gutter="0"/>
          <w:cols w:space="720"/>
          <w:noEndnote/>
          <w:docGrid w:linePitch="360"/>
        </w:sectPr>
      </w:pP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4, 2014</w:t>
      </w: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Pr="00733C85" w:rsidRDefault="00147DAF" w:rsidP="00733C85">
      <w:pPr>
        <w:tabs>
          <w:tab w:val="right" w:pos="5933"/>
        </w:tabs>
        <w:suppressAutoHyphens/>
      </w:pPr>
      <w:r>
        <w:tab/>
      </w:r>
      <w:r>
        <w:rPr>
          <w:b/>
          <w:sz w:val="36"/>
        </w:rPr>
        <w:t>S. 375</w:t>
      </w: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Default="00147DAF" w:rsidP="0073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L. Martin, Johnson and Rankin</w:t>
      </w: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Default="00147DAF" w:rsidP="004653D5">
      <w:pPr>
        <w:tabs>
          <w:tab w:val="right" w:pos="5933"/>
        </w:tabs>
        <w:suppressAutoHyphens/>
      </w:pPr>
      <w:r>
        <w:t>S. Printed 6/4/14--H.</w:t>
      </w:r>
      <w:r>
        <w:tab/>
        <w:t>[SEC 6/5/14 3:11 PM]</w:t>
      </w: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2014.</w:t>
      </w:r>
    </w:p>
    <w:p w:rsidR="00147DAF" w:rsidRPr="00733C85" w:rsidRDefault="00147DAF" w:rsidP="0073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7DAF" w:rsidSect="00EC0FB5">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Pr="00325348" w:rsidRDefault="00147DAF" w:rsidP="006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Pr="006B1933" w:rsidRDefault="00147DAF"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Pr>
          <w:color w:val="000000" w:themeColor="text1"/>
          <w:u w:color="000000" w:themeColor="text1"/>
        </w:rPr>
        <w:t xml:space="preserve">THAT </w:t>
      </w:r>
      <w:r w:rsidRPr="006B1933">
        <w:rPr>
          <w:color w:val="000000" w:themeColor="text1"/>
          <w:u w:color="000000" w:themeColor="text1"/>
        </w:rPr>
        <w:t xml:space="preserve">A MUNICIPALITY MAY BRING A CAUSE OF ACTION AGAINST THE OWNER OF PROPERTY NOT IN SUBSTANTIAL COMPLIANCE WITH CERTAIN MUNICIPAL ORDINANCES, TO </w:t>
      </w:r>
      <w:r>
        <w:rPr>
          <w:color w:val="000000" w:themeColor="text1"/>
          <w:u w:color="000000" w:themeColor="text1"/>
        </w:rPr>
        <w:t>IDENTIFY</w:t>
      </w:r>
      <w:r w:rsidRPr="006B1933">
        <w:rPr>
          <w:color w:val="000000" w:themeColor="text1"/>
          <w:u w:color="000000" w:themeColor="text1"/>
        </w:rPr>
        <w:t xml:space="preserve"> WHO MAY SERVE AS A COURT</w:t>
      </w:r>
      <w:r>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Pr>
          <w:color w:val="000000" w:themeColor="text1"/>
          <w:u w:color="000000" w:themeColor="text1"/>
        </w:rPr>
        <w:t>DESIGNATE</w:t>
      </w:r>
      <w:r w:rsidRPr="006B1933">
        <w:rPr>
          <w:color w:val="000000" w:themeColor="text1"/>
          <w:u w:color="000000" w:themeColor="text1"/>
        </w:rPr>
        <w:t xml:space="preserve"> THE POWERS OF A COURT</w:t>
      </w:r>
      <w:r>
        <w:rPr>
          <w:color w:val="000000" w:themeColor="text1"/>
          <w:u w:color="000000" w:themeColor="text1"/>
        </w:rPr>
        <w:noBreakHyphen/>
      </w:r>
      <w:r w:rsidRPr="006B1933">
        <w:rPr>
          <w:color w:val="000000" w:themeColor="text1"/>
          <w:u w:color="000000" w:themeColor="text1"/>
        </w:rPr>
        <w:t xml:space="preserve">APPOINTED RECEIVER, TO </w:t>
      </w:r>
      <w:r>
        <w:rPr>
          <w:color w:val="000000" w:themeColor="text1"/>
          <w:u w:color="000000" w:themeColor="text1"/>
        </w:rPr>
        <w:t>ESTABLISH</w:t>
      </w:r>
      <w:r w:rsidRPr="006B1933">
        <w:rPr>
          <w:color w:val="000000" w:themeColor="text1"/>
          <w:u w:color="000000" w:themeColor="text1"/>
        </w:rPr>
        <w:t xml:space="preserve"> REPORTING REQUIREMENTS OF THE MUNICIPALITY CONCERNING A VIOLATION AGAINST WHICH THE MUNICIPALITY MAY BRING A CAUSE OF ACTION UNDER THIS ACT, AND TO PROVIDE CERTAIN REMEDIES AND PROCEDURES. </w:t>
      </w: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DAF" w:rsidRDefault="00147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D22D69">
        <w:rPr>
          <w:color w:val="000000" w:themeColor="text1"/>
          <w:szCs w:val="22"/>
          <w:u w:color="000000" w:themeColor="text1"/>
        </w:rPr>
        <w:t>SECTION</w:t>
      </w:r>
      <w:r w:rsidRPr="00D22D69">
        <w:rPr>
          <w:color w:val="000000" w:themeColor="text1"/>
          <w:szCs w:val="22"/>
          <w:u w:color="000000" w:themeColor="text1"/>
        </w:rPr>
        <w:tab/>
        <w:t>1.</w:t>
      </w:r>
      <w:r w:rsidRPr="00D22D69">
        <w:rPr>
          <w:color w:val="000000" w:themeColor="text1"/>
          <w:szCs w:val="22"/>
          <w:u w:color="000000" w:themeColor="text1"/>
        </w:rPr>
        <w:tab/>
        <w:t>Title 6 of the 1976 Code is amended by adding:</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D22D69">
        <w:rPr>
          <w:color w:val="000000" w:themeColor="text1"/>
          <w:szCs w:val="22"/>
          <w:u w:color="000000" w:themeColor="text1"/>
        </w:rPr>
        <w:t>“CHAPTER 38</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D22D69">
        <w:rPr>
          <w:color w:val="000000" w:themeColor="text1"/>
          <w:szCs w:val="22"/>
          <w:u w:color="000000" w:themeColor="text1"/>
        </w:rPr>
        <w:t>Dilapidated Buildings Act</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10.</w:t>
      </w:r>
      <w:r w:rsidRPr="00D22D69">
        <w:rPr>
          <w:color w:val="000000" w:themeColor="text1"/>
          <w:szCs w:val="22"/>
          <w:u w:color="000000" w:themeColor="text1"/>
        </w:rPr>
        <w:tab/>
        <w:t>For purposes of this chapter: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A building, structure, condition, or property is ‘dilapidated’ if it is not in substantial compliance with one or more municipal ordinances regarding:</w:t>
      </w:r>
    </w:p>
    <w:p w:rsidR="00147DAF" w:rsidRPr="00AF5CDF"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5CDF">
        <w:rPr>
          <w:snapToGrid w:val="0"/>
        </w:rPr>
        <w:tab/>
      </w:r>
      <w:r w:rsidRPr="00AF5CDF">
        <w:rPr>
          <w:u w:color="000000" w:themeColor="text1"/>
        </w:rPr>
        <w:tab/>
        <w:t>(a)</w:t>
      </w:r>
      <w:r w:rsidRPr="00AF5CDF">
        <w:rPr>
          <w:u w:color="000000" w:themeColor="text1"/>
        </w:rPr>
        <w:tab/>
        <w:t>prevention of substantial risk of injury to a person; or</w:t>
      </w:r>
    </w:p>
    <w:p w:rsidR="00147DAF" w:rsidRPr="00733C85" w:rsidRDefault="00147DAF" w:rsidP="0073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33C85">
        <w:rPr>
          <w:color w:val="000000" w:themeColor="text1"/>
          <w:szCs w:val="22"/>
          <w:u w:color="000000" w:themeColor="text1"/>
        </w:rPr>
        <w:lastRenderedPageBreak/>
        <w:tab/>
      </w:r>
      <w:r w:rsidRPr="00733C85">
        <w:rPr>
          <w:color w:val="000000" w:themeColor="text1"/>
          <w:szCs w:val="22"/>
          <w:u w:color="000000" w:themeColor="text1"/>
        </w:rPr>
        <w:tab/>
        <w:t>(b)</w:t>
      </w:r>
      <w:r w:rsidRPr="00733C85">
        <w:rPr>
          <w:color w:val="000000" w:themeColor="text1"/>
          <w:szCs w:val="22"/>
          <w:u w:color="000000" w:themeColor="text1"/>
        </w:rPr>
        <w:tab/>
        <w:t>condition of the property constituting an imminent danger to the public health or safety.</w:t>
      </w:r>
      <w:r w:rsidRPr="00733C85">
        <w:rPr>
          <w:color w:val="000000" w:themeColor="text1"/>
          <w:szCs w:val="22"/>
          <w:u w:color="000000" w:themeColor="text1"/>
        </w:rPr>
        <w:tab/>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‘Imminent danger’ means a condition that could cause serious or life</w:t>
      </w:r>
      <w:r w:rsidRPr="00D22D69">
        <w:rPr>
          <w:color w:val="000000" w:themeColor="text1"/>
          <w:szCs w:val="22"/>
          <w:u w:color="000000" w:themeColor="text1"/>
        </w:rPr>
        <w:noBreakHyphen/>
        <w:t>threatening injury or death at any time.</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‘Owner of record’ means a person who is the owner of property according to the most recently approved county tax roll.</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(4)</w:t>
      </w:r>
      <w:r w:rsidRPr="00D22D69">
        <w:rPr>
          <w:color w:val="000000" w:themeColor="text1"/>
          <w:szCs w:val="22"/>
          <w:u w:color="000000" w:themeColor="text1"/>
        </w:rPr>
        <w:tab/>
        <w:t>‘Unsafe structures’ means buildings that are found to be dangerous to the life, health, property, or safety of the public or the occupants.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‘Substantial compliance’ means compliance that satisfies the purpose or objective of the basic or essential requirements of the local ordinance relating to unsafe structures even though the compliance failed to meet some specifics of the ordinance.</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(6)</w:t>
      </w:r>
      <w:r w:rsidRPr="00D22D69">
        <w:rPr>
          <w:color w:val="000000" w:themeColor="text1"/>
          <w:szCs w:val="22"/>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6-38-20.</w:t>
      </w:r>
      <w:r w:rsidRPr="00D22D69">
        <w:rPr>
          <w:color w:val="000000" w:themeColor="text1"/>
          <w:szCs w:val="22"/>
          <w:u w:color="000000" w:themeColor="text1"/>
        </w:rPr>
        <w:tab/>
        <w:t>(A)</w:t>
      </w:r>
      <w:r w:rsidRPr="00D22D69">
        <w:rPr>
          <w:color w:val="000000" w:themeColor="text1"/>
          <w:szCs w:val="22"/>
          <w:u w:color="000000" w:themeColor="text1"/>
        </w:rPr>
        <w:tab/>
        <w:t xml:space="preserve">The rules of equity govern an action under this chapter unless inconsistent with this chapter or general law.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 xml:space="preserve">In applying this legislation, the court shall operate with the presumption that private property should not have a receiver and, therefore, given this presumption: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 receiver shall be viewed as a special, extraordinary equitable remedy to be used sparingly and a receiver shall not be appointed unless there is clear and convincing evidence that the appointment is necessary to address an immediate threat to public </w:t>
      </w:r>
      <w:r w:rsidRPr="00AF5CDF">
        <w:rPr>
          <w:u w:color="000000" w:themeColor="text1"/>
        </w:rPr>
        <w:t xml:space="preserve"> health or safety;</w:t>
      </w:r>
      <w:r>
        <w:rPr>
          <w:u w:color="000000" w:themeColor="text1"/>
        </w:rPr>
        <w:tab/>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all feasible efforts will be made to protect and preserve the property rights of existing property owners and lien holders of record; and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order appointing a receiver shall recite specifically what evidence permits the court to exercise its extraordinary authority pursuant to this chapter.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In applying this legislation, a court is explicitly authorized to exercise its inherent equitable discretion and, in so doing, take into account reasonable steps that might be taken, such as the following:</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avoiding judicial actions immediately after a state or national disaster, such as a hurricane, so as to give owners or lien holders additional time to respond, to make repairs, or to otherwise maintain the status quo in light of such highly unusual exceptional situations;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phasing in necessary repairs that are most appropriate for the situation and direct incremental repairs to portions of a building where necessary to preserve public safety or to ameliorate imminent danger.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30.</w:t>
      </w:r>
      <w:r w:rsidRPr="00D22D69">
        <w:rPr>
          <w:color w:val="000000" w:themeColor="text1"/>
          <w:szCs w:val="22"/>
          <w:u w:color="000000" w:themeColor="text1"/>
        </w:rPr>
        <w:tab/>
        <w:t>Before filing an action under this chapter, the municipality must have:</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developed and followed its locally adopted procedures to deal with the abatement of unsafe structures by measures up to, but not including, demolition pursuant to authority granted to municipalities in Sections 31</w:t>
      </w:r>
      <w:r w:rsidRPr="00D22D69">
        <w:rPr>
          <w:color w:val="000000" w:themeColor="text1"/>
          <w:szCs w:val="22"/>
          <w:u w:color="000000" w:themeColor="text1"/>
        </w:rPr>
        <w:noBreakHyphen/>
        <w:t>15</w:t>
      </w:r>
      <w:r w:rsidRPr="00D22D69">
        <w:rPr>
          <w:color w:val="000000" w:themeColor="text1"/>
          <w:szCs w:val="22"/>
          <w:u w:color="000000" w:themeColor="text1"/>
        </w:rPr>
        <w:noBreakHyphen/>
        <w:t>20 and 5</w:t>
      </w:r>
      <w:r w:rsidRPr="00D22D69">
        <w:rPr>
          <w:color w:val="000000" w:themeColor="text1"/>
          <w:szCs w:val="22"/>
          <w:u w:color="000000" w:themeColor="text1"/>
        </w:rPr>
        <w:noBreakHyphen/>
        <w:t>7</w:t>
      </w:r>
      <w:r w:rsidRPr="00D22D69">
        <w:rPr>
          <w:color w:val="000000" w:themeColor="text1"/>
          <w:szCs w:val="22"/>
          <w:u w:color="000000" w:themeColor="text1"/>
        </w:rPr>
        <w:noBreakHyphen/>
        <w:t xml:space="preserve">80;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 xml:space="preserve">given the owner of record proper notice as required and reasonable time under the circumstances for the correction of a condition pursuant to Section 5-25-390 or codes properly adopted by a municipality pursuant to Sections 6-9-50 or 6-9-60;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by resolution of the governing body declared the property or structure unsafe for human occupancy;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(4)</w:t>
      </w:r>
      <w:r w:rsidRPr="00D22D69">
        <w:rPr>
          <w:color w:val="000000" w:themeColor="text1"/>
          <w:szCs w:val="22"/>
          <w:u w:color="000000" w:themeColor="text1"/>
        </w:rPr>
        <w:tab/>
        <w:t xml:space="preserve">given written notice by certified mail </w:t>
      </w:r>
      <w:r w:rsidRPr="00D22D69">
        <w:rPr>
          <w:szCs w:val="22"/>
          <w:u w:color="000000" w:themeColor="text1"/>
        </w:rPr>
        <w:t xml:space="preserve">to the owner of record and all lien holders </w:t>
      </w:r>
      <w:r w:rsidRPr="00D22D69">
        <w:rPr>
          <w:color w:val="000000" w:themeColor="text1"/>
          <w:szCs w:val="22"/>
          <w:u w:color="000000" w:themeColor="text1"/>
        </w:rPr>
        <w:t xml:space="preserve">of: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an ordinance violation, and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 xml:space="preserve">reasons the municipality believes there is a serious, present, and imminent public health harm or safety hazard, alleged to exist on the property.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 xml:space="preserve">The notice required in subsection (4) must be served </w:t>
      </w:r>
      <w:r w:rsidRPr="00D22D69">
        <w:rPr>
          <w:color w:val="000000" w:themeColor="text1"/>
          <w:szCs w:val="22"/>
        </w:rPr>
        <w:t xml:space="preserve">in accordance to the rules of South Carolina Civil Procedure and by </w:t>
      </w:r>
      <w:r w:rsidRPr="00D22D69">
        <w:rPr>
          <w:color w:val="000000" w:themeColor="text1"/>
          <w:szCs w:val="22"/>
          <w:u w:color="000000" w:themeColor="text1"/>
        </w:rPr>
        <w:t>posting of the property in accordance with Section 6-29-760</w:t>
      </w:r>
      <w:r w:rsidRPr="00D22D69">
        <w:rPr>
          <w:color w:val="000000" w:themeColor="text1"/>
          <w:szCs w:val="22"/>
        </w:rPr>
        <w:t>.</w:t>
      </w:r>
      <w:r w:rsidRPr="00D22D69">
        <w:rPr>
          <w:color w:val="000000" w:themeColor="text1"/>
          <w:szCs w:val="22"/>
          <w:u w:color="000000" w:themeColor="text1"/>
        </w:rPr>
        <w:t xml:space="preserve">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40.</w:t>
      </w:r>
      <w:r w:rsidRPr="00D22D69">
        <w:rPr>
          <w:color w:val="000000" w:themeColor="text1"/>
          <w:szCs w:val="22"/>
          <w:u w:color="000000" w:themeColor="text1"/>
        </w:rPr>
        <w:tab/>
        <w:t>(A)</w:t>
      </w:r>
      <w:r w:rsidRPr="00D22D69">
        <w:rPr>
          <w:color w:val="000000" w:themeColor="text1"/>
          <w:szCs w:val="22"/>
          <w:u w:color="000000" w:themeColor="text1"/>
        </w:rPr>
        <w:tab/>
        <w:t xml:space="preserve">After at least sixty days have passed since the notice required by Section 6-38-30(4), a municipality may bring an action against an owner of </w:t>
      </w:r>
      <w:r w:rsidRPr="00D22D69">
        <w:rPr>
          <w:szCs w:val="22"/>
          <w:u w:color="000000" w:themeColor="text1"/>
        </w:rPr>
        <w:t>record and name any lien holder of record</w:t>
      </w:r>
      <w:r w:rsidRPr="00D22D69">
        <w:rPr>
          <w:color w:val="000000" w:themeColor="text1"/>
          <w:szCs w:val="22"/>
          <w:u w:color="000000" w:themeColor="text1"/>
        </w:rPr>
        <w:t>.</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Before granting such authorization, at least seven days notice must be served: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to the physical address of the property, with one copy addressed to the owner and one copy addressed to ‘</w:t>
      </w:r>
      <w:r>
        <w:rPr>
          <w:color w:val="000000" w:themeColor="text1"/>
          <w:szCs w:val="22"/>
          <w:u w:color="000000" w:themeColor="text1"/>
        </w:rPr>
        <w:t>o</w:t>
      </w:r>
      <w:r w:rsidRPr="00D22D69">
        <w:rPr>
          <w:color w:val="000000" w:themeColor="text1"/>
          <w:szCs w:val="22"/>
          <w:u w:color="000000" w:themeColor="text1"/>
        </w:rPr>
        <w:t xml:space="preserve">ccupant,’ and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 xml:space="preserve">to the best available address in accordance with Section 12-51-40(a), </w:t>
      </w:r>
      <w:r w:rsidRPr="00D22D69">
        <w:rPr>
          <w:szCs w:val="22"/>
          <w:u w:color="000000" w:themeColor="text1"/>
        </w:rPr>
        <w:t>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D22D69">
        <w:rPr>
          <w:szCs w:val="22"/>
          <w:u w:color="000000" w:themeColor="text1"/>
        </w:rPr>
        <w:tab/>
      </w:r>
      <w:r w:rsidRPr="00D22D69">
        <w:rPr>
          <w:szCs w:val="22"/>
          <w:u w:color="000000" w:themeColor="text1"/>
        </w:rPr>
        <w:tab/>
      </w:r>
      <w:r w:rsidRPr="00D22D69">
        <w:rPr>
          <w:szCs w:val="22"/>
          <w:u w:color="000000" w:themeColor="text1"/>
        </w:rPr>
        <w:tab/>
        <w:t>(c)</w:t>
      </w:r>
      <w:r w:rsidRPr="00D22D69">
        <w:rPr>
          <w:szCs w:val="22"/>
          <w:u w:color="000000" w:themeColor="text1"/>
        </w:rPr>
        <w:tab/>
        <w:t>to any lien holder of record.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Limitations may be imposed on the authorization in terms of the time and manner of entry and assessment.</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6-38-50.</w:t>
      </w:r>
      <w:r w:rsidRPr="00D22D69">
        <w:rPr>
          <w:color w:val="000000" w:themeColor="text1"/>
          <w:szCs w:val="22"/>
          <w:u w:color="000000" w:themeColor="text1"/>
        </w:rPr>
        <w:tab/>
        <w:t>(A)</w:t>
      </w:r>
      <w:r w:rsidRPr="00D22D69">
        <w:rPr>
          <w:color w:val="000000" w:themeColor="text1"/>
          <w:szCs w:val="22"/>
          <w:u w:color="000000" w:themeColor="text1"/>
        </w:rPr>
        <w:tab/>
        <w:t xml:space="preserve">Within seven days of filing a receivership action pursuant to this chapter, a municipality bringing the action shall serve notice of the proceedings to each owner of record, lien holder, and holder of recorded property interests in accordance with </w:t>
      </w:r>
      <w:r w:rsidRPr="00D22D69">
        <w:rPr>
          <w:color w:val="000000" w:themeColor="text1"/>
          <w:szCs w:val="22"/>
        </w:rPr>
        <w:t>the South Carolina Rules of Civil Procedure</w:t>
      </w:r>
      <w:r w:rsidRPr="00D22D69">
        <w:rPr>
          <w:color w:val="000000" w:themeColor="text1"/>
          <w:szCs w:val="22"/>
          <w:u w:color="000000" w:themeColor="text1"/>
        </w:rPr>
        <w:t xml:space="preserve"> and by posting of the property in accordance with Section 6-29-760. An owner of record, lien holder, or holder of a recorded property interest who is not available after due diligence may be served by alternative means, including publication, as prescribed by the South Carolina Rules of Civil Procedure.  Actual service or service by publication on an owner of record or a lien holder of record constitutes notice to each owner of record, lien holder of record, or others with a recorded property interest of the same ownership interest, lien, or property interest.  Copies of names and addresses of those given notice must be supplied to the court at the time notice is given.</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Within seven days of filing an action, a municipality bringing action pursuant to this chapter shall file a notice of lis pendens to provide constructive notice of the pending action.</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6-38-60.</w:t>
      </w:r>
      <w:r w:rsidRPr="00D22D69">
        <w:rPr>
          <w:color w:val="000000" w:themeColor="text1"/>
          <w:szCs w:val="22"/>
          <w:u w:color="000000" w:themeColor="text1"/>
        </w:rPr>
        <w:tab/>
        <w:t>An owner of record, lien holder of record, or other person with a recorded property interest in a property that is the subject of an action under this chapter may: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intervene in the action;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request appointment as a receiver pursuant to this chapter if the lien holder or other person with a recorded property interest demonstrates to the court an ability and willingness to repair the property.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6-38-70.</w:t>
      </w:r>
      <w:r w:rsidRPr="00D22D69">
        <w:rPr>
          <w:color w:val="000000" w:themeColor="text1"/>
          <w:szCs w:val="22"/>
          <w:u w:color="000000" w:themeColor="text1"/>
        </w:rPr>
        <w:tab/>
        <w:t>The following may serve as a court</w:t>
      </w:r>
      <w:r w:rsidRPr="00D22D69">
        <w:rPr>
          <w:color w:val="000000" w:themeColor="text1"/>
          <w:szCs w:val="22"/>
          <w:u w:color="000000" w:themeColor="text1"/>
        </w:rPr>
        <w:noBreakHyphen/>
        <w:t>appointed receiver: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 xml:space="preserve">an entity </w:t>
      </w:r>
      <w:r w:rsidRPr="00D22D69">
        <w:rPr>
          <w:color w:val="000000" w:themeColor="text1"/>
          <w:szCs w:val="22"/>
        </w:rPr>
        <w:t xml:space="preserve">not including a municipality that the court determines has </w:t>
      </w:r>
      <w:r w:rsidRPr="00D22D69">
        <w:rPr>
          <w:color w:val="000000" w:themeColor="text1"/>
          <w:szCs w:val="22"/>
          <w:u w:color="000000" w:themeColor="text1"/>
        </w:rPr>
        <w:t>sufficient capacity, resources, and experience repairing properties</w:t>
      </w:r>
      <w:r>
        <w:rPr>
          <w:color w:val="000000" w:themeColor="text1"/>
          <w:szCs w:val="22"/>
          <w:u w:color="000000" w:themeColor="text1"/>
        </w:rPr>
        <w:t xml:space="preserve"> and</w:t>
      </w:r>
      <w:r w:rsidRPr="00D22D69">
        <w:rPr>
          <w:color w:val="000000" w:themeColor="text1"/>
          <w:szCs w:val="22"/>
          <w:u w:color="000000" w:themeColor="text1"/>
        </w:rPr>
        <w:t xml:space="preserve"> abating code violations, or both;</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an individual the court determines to have sufficient capacity, resources, and experience repairing properties</w:t>
      </w:r>
      <w:r>
        <w:rPr>
          <w:color w:val="000000" w:themeColor="text1"/>
          <w:szCs w:val="22"/>
          <w:u w:color="000000" w:themeColor="text1"/>
        </w:rPr>
        <w:t xml:space="preserve"> and</w:t>
      </w:r>
      <w:r w:rsidRPr="00D22D69">
        <w:rPr>
          <w:color w:val="000000" w:themeColor="text1"/>
          <w:szCs w:val="22"/>
          <w:u w:color="000000" w:themeColor="text1"/>
        </w:rPr>
        <w:t xml:space="preserve"> abating code violations, or both;</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 xml:space="preserve">in the case of historic properties, an entity that is not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under 16 U.S.C. Section 470, et seq., or the historic preservation ordinance of the municipality, if applicable;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(4)</w:t>
      </w:r>
      <w:r w:rsidRPr="00D22D69">
        <w:rPr>
          <w:color w:val="000000" w:themeColor="text1"/>
          <w:szCs w:val="22"/>
          <w:u w:color="000000" w:themeColor="text1"/>
        </w:rPr>
        <w:tab/>
        <w:t>a licensed and bonded contractor in the State of South Carolina;</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a lien holder requesting appointment pursuant to Section 6-38-60; or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(6)</w:t>
      </w:r>
      <w:r w:rsidRPr="00D22D69">
        <w:rPr>
          <w:color w:val="000000" w:themeColor="text1"/>
          <w:szCs w:val="22"/>
          <w:u w:color="000000" w:themeColor="text1"/>
        </w:rPr>
        <w:tab/>
        <w:t>an owner of record requesting appointment pursuant to Section 6-38-60.</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6-38-80.</w:t>
      </w:r>
      <w:r w:rsidRPr="00D22D69">
        <w:rPr>
          <w:color w:val="000000" w:themeColor="text1"/>
          <w:szCs w:val="22"/>
          <w:u w:color="000000" w:themeColor="text1"/>
        </w:rPr>
        <w:tab/>
        <w:t>(A)</w:t>
      </w:r>
      <w:r w:rsidRPr="00D22D69">
        <w:rPr>
          <w:color w:val="000000" w:themeColor="text1"/>
          <w:szCs w:val="22"/>
          <w:u w:color="000000" w:themeColor="text1"/>
        </w:rPr>
        <w:tab/>
        <w:t>The court may appoint a receiver for the property for a term:</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not to exceed two years; or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for a time determined appropriate by the court based on the nature of the work to be done.</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court must determine by specific facts noted in a written order: (1) the evidence which permits the court to exercise its extraordinary authority pursuant to this chapter, and (2) the time period for receivership.  In addition to the facts relevant to this extraordinary exercise of the equitable power of the court, the findings of the court must include the following:</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structures on the property are in substantial violation of one or more ordinances of the municipality pursuant to Section 6</w:t>
      </w:r>
      <w:r w:rsidRPr="00D22D69">
        <w:rPr>
          <w:color w:val="000000" w:themeColor="text1"/>
          <w:szCs w:val="22"/>
          <w:u w:color="000000" w:themeColor="text1"/>
        </w:rPr>
        <w:noBreakHyphen/>
        <w:t>38</w:t>
      </w:r>
      <w:r w:rsidRPr="00D22D69">
        <w:rPr>
          <w:color w:val="000000" w:themeColor="text1"/>
          <w:szCs w:val="22"/>
          <w:u w:color="000000" w:themeColor="text1"/>
        </w:rPr>
        <w:noBreakHyphen/>
        <w:t>3</w:t>
      </w:r>
      <w:r w:rsidRPr="00D22D69">
        <w:rPr>
          <w:szCs w:val="22"/>
          <w:u w:color="000000" w:themeColor="text1"/>
        </w:rPr>
        <w:t>0</w:t>
      </w:r>
      <w:r w:rsidRPr="00D22D69">
        <w:rPr>
          <w:color w:val="000000" w:themeColor="text1"/>
          <w:szCs w:val="22"/>
          <w:u w:color="000000" w:themeColor="text1"/>
        </w:rPr>
        <w:t xml:space="preserve">;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property is not an owner</w:t>
      </w:r>
      <w:r w:rsidRPr="00D22D69">
        <w:rPr>
          <w:color w:val="000000" w:themeColor="text1"/>
          <w:szCs w:val="22"/>
          <w:u w:color="000000" w:themeColor="text1"/>
        </w:rPr>
        <w:noBreakHyphen/>
        <w:t>occupied, single</w:t>
      </w:r>
      <w:r w:rsidRPr="00D22D69">
        <w:rPr>
          <w:color w:val="000000" w:themeColor="text1"/>
          <w:szCs w:val="22"/>
          <w:u w:color="000000" w:themeColor="text1"/>
        </w:rPr>
        <w:noBreakHyphen/>
        <w:t>family residence;</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property does not have one to four family residences where at least one unit is owner occupied;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the property is not currently in a probate, foreclosure, or bankruptcy proceeding.</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90.</w:t>
      </w:r>
      <w:r w:rsidRPr="00D22D69">
        <w:rPr>
          <w:color w:val="000000" w:themeColor="text1"/>
          <w:szCs w:val="22"/>
          <w:u w:color="000000" w:themeColor="text1"/>
        </w:rPr>
        <w:tab/>
        <w:t xml:space="preserve">Subject to control of the court </w:t>
      </w:r>
      <w:r w:rsidRPr="00D22D69">
        <w:rPr>
          <w:szCs w:val="22"/>
          <w:u w:color="000000" w:themeColor="text1"/>
        </w:rPr>
        <w:t>and the rights of any prior lien holder of record,</w:t>
      </w:r>
      <w:r w:rsidRPr="00D22D69">
        <w:rPr>
          <w:color w:val="FF0000"/>
          <w:szCs w:val="22"/>
          <w:u w:color="000000" w:themeColor="text1"/>
        </w:rPr>
        <w:t xml:space="preserve"> </w:t>
      </w:r>
      <w:r w:rsidRPr="00D22D69">
        <w:rPr>
          <w:color w:val="000000" w:themeColor="text1"/>
          <w:szCs w:val="22"/>
          <w:u w:color="000000" w:themeColor="text1"/>
        </w:rPr>
        <w:t>a court</w:t>
      </w:r>
      <w:r w:rsidRPr="00D22D69">
        <w:rPr>
          <w:color w:val="000000" w:themeColor="text1"/>
          <w:szCs w:val="22"/>
          <w:u w:color="000000" w:themeColor="text1"/>
        </w:rPr>
        <w:noBreakHyphen/>
        <w:t>appointed receiver has all powers necessary and customary to the powers of a receiver under the laws of equity and may: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take possession and control of the property;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operate and manage the property;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establish and collect rents and income on the property;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(4)</w:t>
      </w:r>
      <w:r w:rsidRPr="00D22D69">
        <w:rPr>
          <w:color w:val="000000" w:themeColor="text1"/>
          <w:szCs w:val="22"/>
          <w:u w:color="000000" w:themeColor="text1"/>
        </w:rPr>
        <w:tab/>
        <w:t>lease the property;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(5)</w:t>
      </w:r>
      <w:r w:rsidRPr="00D22D69">
        <w:rPr>
          <w:color w:val="000000" w:themeColor="text1"/>
          <w:szCs w:val="22"/>
          <w:u w:color="000000" w:themeColor="text1"/>
        </w:rPr>
        <w:tab/>
        <w:t>make repairs necessary to bring the property into compliance with local codes, ordinances, and state laws, including:</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performing and entering into contracts for the performance of work and the furnishing of materials for repairs;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entering into loan and grant agreements for repairs to the property;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(6)</w:t>
      </w:r>
      <w:r w:rsidRPr="00D22D69">
        <w:rPr>
          <w:color w:val="000000" w:themeColor="text1"/>
          <w:szCs w:val="22"/>
          <w:u w:color="000000" w:themeColor="text1"/>
        </w:rPr>
        <w:tab/>
        <w:t xml:space="preserve">pay expenses, including paying for utilities and paying </w:t>
      </w:r>
      <w:r w:rsidRPr="00D22D69">
        <w:rPr>
          <w:szCs w:val="22"/>
          <w:u w:color="000000" w:themeColor="text1"/>
        </w:rPr>
        <w:t>current taxes, taxes in arrears and current assessments and assessments in arrears,</w:t>
      </w:r>
      <w:r w:rsidRPr="00D22D69">
        <w:rPr>
          <w:color w:val="000000" w:themeColor="text1"/>
          <w:szCs w:val="22"/>
          <w:u w:color="000000" w:themeColor="text1"/>
        </w:rPr>
        <w:t xml:space="preserve"> insurance premiums, and reasonable compensation to a property management agent;</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(7)</w:t>
      </w:r>
      <w:r w:rsidRPr="00D22D69">
        <w:rPr>
          <w:color w:val="000000" w:themeColor="text1"/>
          <w:szCs w:val="22"/>
          <w:u w:color="000000" w:themeColor="text1"/>
        </w:rPr>
        <w:tab/>
        <w:t>enter into contracts for operating and maintaining the property;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(8)</w:t>
      </w:r>
      <w:r w:rsidRPr="00D22D69">
        <w:rPr>
          <w:color w:val="000000" w:themeColor="text1"/>
          <w:szCs w:val="22"/>
          <w:u w:color="000000" w:themeColor="text1"/>
        </w:rPr>
        <w:tab/>
        <w:t>exercise all other authority of an owner of the property other than the authority to sell the property; and</w:t>
      </w:r>
    </w:p>
    <w:p w:rsidR="00147DAF" w:rsidRPr="00AF5CDF"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22D69">
        <w:rPr>
          <w:color w:val="000000" w:themeColor="text1"/>
          <w:szCs w:val="22"/>
          <w:u w:color="000000" w:themeColor="text1"/>
        </w:rPr>
        <w:tab/>
        <w:t>(9)</w:t>
      </w:r>
      <w:r w:rsidRPr="00D22D69">
        <w:rPr>
          <w:color w:val="000000" w:themeColor="text1"/>
          <w:szCs w:val="22"/>
          <w:u w:color="000000" w:themeColor="text1"/>
        </w:rPr>
        <w:tab/>
        <w:t xml:space="preserve">perform other acts regarding the property as authorized </w:t>
      </w:r>
      <w:r w:rsidRPr="00AF5CDF">
        <w:rPr>
          <w:u w:color="000000" w:themeColor="text1"/>
        </w:rPr>
        <w:t>by the court.</w:t>
      </w:r>
    </w:p>
    <w:p w:rsidR="00147DAF"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147DAF" w:rsidRPr="00AF5CDF"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AF5CDF">
        <w:rPr>
          <w:u w:color="000000" w:themeColor="text1"/>
        </w:rPr>
        <w:tab/>
        <w:t>Section 6</w:t>
      </w:r>
      <w:r w:rsidRPr="00AF5CDF">
        <w:rPr>
          <w:u w:color="000000" w:themeColor="text1"/>
        </w:rPr>
        <w:noBreakHyphen/>
        <w:t>38</w:t>
      </w:r>
      <w:r w:rsidRPr="00AF5CDF">
        <w:rPr>
          <w:u w:color="000000" w:themeColor="text1"/>
        </w:rPr>
        <w:noBreakHyphen/>
        <w:t>95.</w:t>
      </w:r>
      <w:r w:rsidRPr="00AF5CDF">
        <w:rPr>
          <w:u w:color="000000" w:themeColor="text1"/>
        </w:rPr>
        <w:tab/>
        <w:t>(A)</w:t>
      </w:r>
      <w:r w:rsidRPr="00AF5CDF">
        <w:rPr>
          <w:u w:color="000000" w:themeColor="text1"/>
        </w:rPr>
        <w:tab/>
        <w:t>In exercising the powers pursuant to Section 6</w:t>
      </w:r>
      <w:r w:rsidRPr="00AF5CDF">
        <w:rPr>
          <w:u w:color="000000" w:themeColor="text1"/>
        </w:rPr>
        <w:noBreakHyphen/>
        <w:t>38</w:t>
      </w:r>
      <w:r w:rsidRPr="00AF5CDF">
        <w:rPr>
          <w:u w:color="000000" w:themeColor="text1"/>
        </w:rPr>
        <w:noBreakHyphen/>
        <w:t>90, and in submitting the reports required by Section 6-38-100, and in completing any work as a receiver, the receiver must plan and execute his duties with honesty, good faith, reasonable diligence, and in the most economically prudent manner possible, utilizing measures to minimize costs and seeking competitive bids for services.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F5CDF">
        <w:rPr>
          <w:u w:color="000000" w:themeColor="text1"/>
        </w:rPr>
        <w:tab/>
        <w:t>(B)</w:t>
      </w:r>
      <w:r w:rsidRPr="00AF5CDF">
        <w:rPr>
          <w:u w:color="000000" w:themeColor="text1"/>
        </w:rPr>
        <w:tab/>
        <w:t>If a receiver’s exercise of powers, submission of reports, and completion of work do not meet the standard described in subsection (A), the receiver is liable for economic damages and, at the discretion of the court, treble damages.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100.</w:t>
      </w:r>
      <w:r w:rsidRPr="00D22D69">
        <w:rPr>
          <w:color w:val="000000" w:themeColor="text1"/>
          <w:szCs w:val="22"/>
          <w:u w:color="000000" w:themeColor="text1"/>
        </w:rPr>
        <w:tab/>
        <w:t>(A)</w:t>
      </w:r>
      <w:r w:rsidRPr="00D22D69">
        <w:rPr>
          <w:color w:val="000000" w:themeColor="text1"/>
          <w:szCs w:val="22"/>
          <w:u w:color="000000" w:themeColor="text1"/>
        </w:rPr>
        <w:tab/>
        <w:t>Before beginning any work the receiver must submit to the court for its approval a detailed report describing the problems associated with the property and a detailed plan for abating the problems.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This report must be accompanied by a performance bond or performance bond binder as well as a detailed timeline for completion of the work.</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The </w:t>
      </w:r>
      <w:r w:rsidRPr="00D22D69">
        <w:rPr>
          <w:szCs w:val="22"/>
          <w:u w:color="000000" w:themeColor="text1"/>
        </w:rPr>
        <w:t>receiver</w:t>
      </w:r>
      <w:r w:rsidRPr="00D22D69">
        <w:rPr>
          <w:color w:val="FF0000"/>
          <w:szCs w:val="22"/>
          <w:u w:color="000000" w:themeColor="text1"/>
        </w:rPr>
        <w:t xml:space="preserve"> </w:t>
      </w:r>
      <w:r w:rsidRPr="00D22D69">
        <w:rPr>
          <w:color w:val="000000" w:themeColor="text1"/>
          <w:szCs w:val="22"/>
          <w:u w:color="000000" w:themeColor="text1"/>
        </w:rPr>
        <w:t>shall provide a copy of the report and estimate to the owner of record, lien holders, and others with a recorded property interest.</w:t>
      </w:r>
      <w:r w:rsidRPr="00D22D69">
        <w:rPr>
          <w:color w:val="000000" w:themeColor="text1"/>
          <w:szCs w:val="22"/>
          <w:u w:color="000000" w:themeColor="text1"/>
        </w:rPr>
        <w:tab/>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receiver shall submit progress reports every forty</w:t>
      </w:r>
      <w:r w:rsidRPr="00D22D69">
        <w:rPr>
          <w:color w:val="000000" w:themeColor="text1"/>
          <w:szCs w:val="22"/>
          <w:u w:color="000000" w:themeColor="text1"/>
        </w:rPr>
        <w:noBreakHyphen/>
        <w:t>five days or as the court determines to demonstrate compliance with the time schedules established for commencement and performance of the work.</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6-38-110.</w:t>
      </w:r>
      <w:r w:rsidRPr="00D22D69">
        <w:rPr>
          <w:color w:val="000000" w:themeColor="text1"/>
          <w:szCs w:val="22"/>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D22D69">
        <w:rPr>
          <w:color w:val="000000" w:themeColor="text1"/>
          <w:szCs w:val="22"/>
          <w:u w:color="000000" w:themeColor="text1"/>
        </w:rPr>
        <w:noBreakHyphen/>
        <w:t>38</w:t>
      </w:r>
      <w:r w:rsidRPr="00D22D69">
        <w:rPr>
          <w:color w:val="000000" w:themeColor="text1"/>
          <w:szCs w:val="22"/>
          <w:u w:color="000000" w:themeColor="text1"/>
        </w:rPr>
        <w:noBreakHyphen/>
        <w:t>140 and 6</w:t>
      </w:r>
      <w:r w:rsidRPr="00D22D69">
        <w:rPr>
          <w:color w:val="000000" w:themeColor="text1"/>
          <w:szCs w:val="22"/>
          <w:u w:color="000000" w:themeColor="text1"/>
        </w:rPr>
        <w:noBreakHyphen/>
        <w:t>38</w:t>
      </w:r>
      <w:r w:rsidRPr="00D22D69">
        <w:rPr>
          <w:color w:val="000000" w:themeColor="text1"/>
          <w:szCs w:val="22"/>
          <w:u w:color="000000" w:themeColor="text1"/>
        </w:rPr>
        <w:noBreakHyphen/>
        <w:t>150.</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6-38-120.</w:t>
      </w:r>
      <w:r w:rsidRPr="00D22D69">
        <w:rPr>
          <w:color w:val="000000" w:themeColor="text1"/>
          <w:szCs w:val="22"/>
          <w:u w:color="000000" w:themeColor="text1"/>
        </w:rPr>
        <w:tab/>
        <w:t>(A)</w:t>
      </w:r>
      <w:r w:rsidRPr="00D22D69">
        <w:rPr>
          <w:color w:val="000000" w:themeColor="text1"/>
          <w:szCs w:val="22"/>
          <w:u w:color="000000" w:themeColor="text1"/>
        </w:rPr>
        <w:tab/>
        <w:t>If a loss occurs to the property entrusted to the receiver as a result of the receiver’s negligence, the receiver shall be liable for economic damages.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If the loss occurs as a result of fraudulent execution of trust, the receiver shall be liable for economic damages and, at the discretion of the court, treble damages.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6-38-130.</w:t>
      </w:r>
      <w:r w:rsidRPr="00D22D69">
        <w:rPr>
          <w:color w:val="000000" w:themeColor="text1"/>
          <w:szCs w:val="22"/>
          <w:u w:color="000000" w:themeColor="text1"/>
        </w:rPr>
        <w:tab/>
        <w:t>(A)</w:t>
      </w:r>
      <w:r w:rsidRPr="00D22D69">
        <w:rPr>
          <w:color w:val="000000" w:themeColor="text1"/>
          <w:szCs w:val="22"/>
          <w:u w:color="000000" w:themeColor="text1"/>
        </w:rPr>
        <w:tab/>
        <w:t>A receiver appointed pursuant to this chapter may demolish a structure only after a hearing.</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Prior to the hearing, the receiver must prepare a detailed report which establishes: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it is not economically feasible to bring the structure into compliance with local codes, local ordinances, and state laws;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structure:</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is unfit for human habitation; or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is a hazard to public health or safety.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At least ninety days before the hearing, notice must be sent, along with the report, to all owners of record, all lien holders, and all others with a recorded property interest.  In addition, the property must have been posted in accordance with Section 6-29-760(A) for at least ninety days prior to the hearing.</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(D)</w:t>
      </w:r>
      <w:r w:rsidRPr="00D22D69">
        <w:rPr>
          <w:color w:val="000000" w:themeColor="text1"/>
          <w:szCs w:val="22"/>
          <w:u w:color="000000" w:themeColor="text1"/>
        </w:rPr>
        <w:tab/>
        <w:t>At the hearing, the court shall determine whether demolition is appropriate. In making this determination, the court shall consider: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whether any owner, lien holder, or other person with a recorded interest has appeared to explain to the court’s satisfaction why the property has been left in its current state,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the structure constitutes a danger to the public even though secured from entry; or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the means used to secure the structure are inadequate to prevent unauthorized entry or use of the structure.</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6-38-140.</w:t>
      </w:r>
      <w:r w:rsidRPr="00D22D69">
        <w:rPr>
          <w:color w:val="000000" w:themeColor="text1"/>
          <w:szCs w:val="22"/>
          <w:u w:color="000000" w:themeColor="text1"/>
        </w:rPr>
        <w:tab/>
        <w:t>A receiver who completes repairs to a structure or demolishes a structure, upon or before petitioning a court for termination of the receivership, shall file with the court a full accounting of:</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(1)</w:t>
      </w:r>
      <w:r w:rsidRPr="00D22D69">
        <w:rPr>
          <w:color w:val="000000" w:themeColor="text1"/>
          <w:szCs w:val="22"/>
          <w:u w:color="000000" w:themeColor="text1"/>
        </w:rPr>
        <w:tab/>
        <w:t>all costs and expenses incurred in the repairs or demolition, including reasonable costs for labor and supervision;</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(2)</w:t>
      </w:r>
      <w:r w:rsidRPr="00D22D69">
        <w:rPr>
          <w:color w:val="000000" w:themeColor="text1"/>
          <w:szCs w:val="22"/>
          <w:u w:color="000000" w:themeColor="text1"/>
        </w:rPr>
        <w:tab/>
        <w:t>all income received from the property;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(3)</w:t>
      </w:r>
      <w:r w:rsidRPr="00D22D69">
        <w:rPr>
          <w:color w:val="000000" w:themeColor="text1"/>
          <w:szCs w:val="22"/>
          <w:u w:color="000000" w:themeColor="text1"/>
        </w:rPr>
        <w:tab/>
        <w:t>at the discretion of the court, a receivership fee not to exceed ten percent of the costs and the expenses in subsection (1).</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6-38-150.</w:t>
      </w:r>
      <w:r w:rsidRPr="00D22D69">
        <w:rPr>
          <w:color w:val="000000" w:themeColor="text1"/>
          <w:szCs w:val="22"/>
          <w:u w:color="000000" w:themeColor="text1"/>
        </w:rPr>
        <w:tab/>
        <w:t>(A)</w:t>
      </w:r>
      <w:r w:rsidRPr="00D22D69">
        <w:rPr>
          <w:color w:val="000000" w:themeColor="text1"/>
          <w:szCs w:val="22"/>
          <w:u w:color="000000" w:themeColor="text1"/>
        </w:rPr>
        <w:tab/>
        <w:t>Subject to subsection (E), a receiver appointed under this chapter must be terminated in accordance with Section 6-38-80. In addition, a receiver may petition the court to terminate the receivership and order the sale of the property, as provided in subsection (B) if:</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the work has been successfully completed;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at least ninety days before filing for termination, the owners of record, lien holders, and others holding recorded property interests have been served notice as provided in Section 6-38-60 of a summary accounting of costs and expenses paid by the receiver and of a receivership fee, which shall not exceed ten percent of reasonable costs and expenses.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court may order the sale of the property at public auction if the court finds that:</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notice as required by subsection (A) was given to each owner of record, lien holder, and holder of a recorded property interest;</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receiver’s costs and fees are reasonable based on:</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nature, extent, and difficulty of the services rendered;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time and labor devoted to the case;</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(c)</w:t>
      </w:r>
      <w:r w:rsidRPr="00D22D69">
        <w:rPr>
          <w:color w:val="000000" w:themeColor="text1"/>
          <w:szCs w:val="22"/>
          <w:u w:color="000000" w:themeColor="text1"/>
        </w:rPr>
        <w:tab/>
        <w:t>professional standing of the receiver;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(d)</w:t>
      </w:r>
      <w:r w:rsidRPr="00D22D69">
        <w:rPr>
          <w:color w:val="000000" w:themeColor="text1"/>
          <w:szCs w:val="22"/>
          <w:u w:color="000000" w:themeColor="text1"/>
        </w:rPr>
        <w:tab/>
        <w:t>contingency of compensation;</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(e)</w:t>
      </w:r>
      <w:r w:rsidRPr="00D22D69">
        <w:rPr>
          <w:color w:val="000000" w:themeColor="text1"/>
          <w:szCs w:val="22"/>
          <w:u w:color="000000" w:themeColor="text1"/>
        </w:rPr>
        <w:tab/>
        <w:t>fee customarily charged in the locality for similar services;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(f)</w:t>
      </w:r>
      <w:r w:rsidRPr="00D22D69">
        <w:rPr>
          <w:color w:val="000000" w:themeColor="text1"/>
          <w:szCs w:val="22"/>
          <w:u w:color="000000" w:themeColor="text1"/>
        </w:rPr>
        <w:tab/>
        <w:t>beneficial results obtained;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receiver has been in control of the property and the owner has failed to repay all the receiver’s outstanding costs and expenses of rehabilitation plus a reasonable receivership fee;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no lien holder of record or other holder of a recorded property interest has intervened in the action and tendered the costs and expenses of the receiver, plus a receivership fee (which shall not exceed ten percent of reasonable costs and expenses), and assumed control of the property.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(D)</w:t>
      </w:r>
      <w:r w:rsidRPr="00D22D69">
        <w:rPr>
          <w:color w:val="000000" w:themeColor="text1"/>
          <w:szCs w:val="22"/>
          <w:u w:color="000000" w:themeColor="text1"/>
        </w:rPr>
        <w:tab/>
        <w:t>If the revenue from the sale exceeds the total of the costs and expenses listed in Section 6-38-160(A), any net overage belongs to the owner pursuant to Section 6-38-160(B).</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(E)</w:t>
      </w:r>
      <w:r w:rsidRPr="00D22D69">
        <w:rPr>
          <w:color w:val="000000" w:themeColor="text1"/>
          <w:szCs w:val="22"/>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shall not exceed ten percent of reasonable costs and expenses. </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6-38-160.</w:t>
      </w:r>
      <w:r w:rsidRPr="00D22D69">
        <w:rPr>
          <w:color w:val="000000" w:themeColor="text1"/>
          <w:szCs w:val="22"/>
          <w:u w:color="000000" w:themeColor="text1"/>
        </w:rPr>
        <w:tab/>
        <w:t>(A)</w:t>
      </w:r>
      <w:r w:rsidRPr="00D22D69">
        <w:rPr>
          <w:color w:val="000000" w:themeColor="text1"/>
          <w:szCs w:val="22"/>
          <w:u w:color="000000" w:themeColor="text1"/>
        </w:rPr>
        <w:tab/>
        <w:t>The court shall confirm a sale under this chapter and order a distribution of the proceeds of the sale in the following order: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court costs;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costs and expenses, plus a reasonable receivership fee, and any lien held by the receiver; and</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other valid liens.</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Any remaining overage belongs to the owner of record.  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the governing body of political subdivision is entitled to the earnings for keeping the overage.  On escheat date the overage must be transferred to the general funds of the governing body.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Pr>
          <w:color w:val="000000" w:themeColor="text1"/>
          <w:szCs w:val="22"/>
          <w:u w:color="000000" w:themeColor="text1"/>
        </w:rPr>
        <w:t>3</w:t>
      </w:r>
      <w:r w:rsidRPr="00D22D69">
        <w:rPr>
          <w:color w:val="000000" w:themeColor="text1"/>
          <w:szCs w:val="22"/>
          <w:u w:color="000000" w:themeColor="text1"/>
        </w:rPr>
        <w:t>8-170.</w:t>
      </w:r>
      <w:r w:rsidRPr="00D22D69">
        <w:rPr>
          <w:color w:val="000000" w:themeColor="text1"/>
          <w:szCs w:val="22"/>
          <w:u w:color="000000" w:themeColor="text1"/>
        </w:rPr>
        <w:tab/>
        <w:t>(A)</w:t>
      </w:r>
      <w:r w:rsidRPr="00D22D69">
        <w:rPr>
          <w:color w:val="000000" w:themeColor="text1"/>
          <w:szCs w:val="22"/>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This chapter does not foreclose any right or remedy that may be available under other state law or the laws of equity.”</w:t>
      </w: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47DAF" w:rsidRPr="00D22D69" w:rsidRDefault="00147DAF"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22D69">
        <w:rPr>
          <w:color w:val="000000" w:themeColor="text1"/>
          <w:szCs w:val="22"/>
          <w:u w:color="000000" w:themeColor="text1"/>
        </w:rPr>
        <w:t>SECTION</w:t>
      </w:r>
      <w:r w:rsidRPr="00D22D69">
        <w:rPr>
          <w:color w:val="000000" w:themeColor="text1"/>
          <w:szCs w:val="22"/>
          <w:u w:color="000000" w:themeColor="text1"/>
        </w:rPr>
        <w:tab/>
        <w:t>2.</w:t>
      </w:r>
      <w:r w:rsidRPr="00D22D69">
        <w:rPr>
          <w:color w:val="000000" w:themeColor="text1"/>
          <w:szCs w:val="22"/>
          <w:u w:color="000000" w:themeColor="text1"/>
        </w:rPr>
        <w:tab/>
        <w:t>This act takes effect upon approval by the Governor.</w:t>
      </w:r>
    </w:p>
    <w:p w:rsidR="00147DAF" w:rsidRDefault="00147DAF" w:rsidP="00386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421B" w:rsidRDefault="006E421B" w:rsidP="0014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E421B" w:rsidSect="00EC0FB5">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7BA" w:rsidRDefault="006317BA" w:rsidP="009F0C77">
      <w:r>
        <w:separator/>
      </w:r>
    </w:p>
  </w:endnote>
  <w:endnote w:type="continuationSeparator" w:id="0">
    <w:p w:rsidR="006317BA" w:rsidRDefault="006317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925A48-5657-4116-938F-29BD3C3A3B22}"/>
    <w:embedBold r:id="rId2" w:fontKey="{EBF1CF52-E9C7-428E-B6D3-E6B4C6A66637}"/>
  </w:font>
  <w:font w:name="Calibri">
    <w:panose1 w:val="020F0502020204030204"/>
    <w:charset w:val="00"/>
    <w:family w:val="swiss"/>
    <w:pitch w:val="variable"/>
    <w:sig w:usb0="E10002FF" w:usb1="4000ACFF" w:usb2="00000009" w:usb3="00000000" w:csb0="0000019F" w:csb1="00000000"/>
    <w:embedRegular r:id="rId3" w:fontKey="{8377E61A-83E1-4860-AA6D-F77C61611AA3}"/>
  </w:font>
  <w:font w:name="Tahoma">
    <w:panose1 w:val="020B0604030504040204"/>
    <w:charset w:val="00"/>
    <w:family w:val="swiss"/>
    <w:pitch w:val="variable"/>
    <w:sig w:usb0="21002A87" w:usb1="80000000" w:usb2="00000008" w:usb3="00000000" w:csb0="000101FF" w:csb1="00000000"/>
    <w:embedRegular r:id="rId4" w:fontKey="{B464D9DA-DEC4-44B6-99B0-0BADE17042BB}"/>
  </w:font>
  <w:font w:name="Cambria">
    <w:panose1 w:val="02040503050406030204"/>
    <w:charset w:val="00"/>
    <w:family w:val="roman"/>
    <w:pitch w:val="variable"/>
    <w:sig w:usb0="E00002FF" w:usb1="400004FF" w:usb2="00000000" w:usb3="00000000" w:csb0="0000019F" w:csb1="00000000"/>
    <w:embedRegular r:id="rId5" w:fontKey="{8FD58558-FFE2-4A67-8211-C6396D84A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DAF" w:rsidRPr="006E421B" w:rsidRDefault="00147DAF" w:rsidP="006E421B">
    <w:pPr>
      <w:pStyle w:val="Footer"/>
      <w:tabs>
        <w:tab w:val="clear" w:pos="4680"/>
        <w:tab w:val="clear" w:pos="9360"/>
        <w:tab w:val="center" w:pos="2995"/>
      </w:tabs>
      <w:spacing w:before="120"/>
    </w:pPr>
    <w:r>
      <w:t>[375-</w:t>
    </w:r>
    <w:r w:rsidR="0083093E">
      <w:fldChar w:fldCharType="begin"/>
    </w:r>
    <w:r w:rsidR="0083093E">
      <w:instrText xml:space="preserve"> PAGE  \* MERGEFORMAT </w:instrText>
    </w:r>
    <w:r w:rsidR="0083093E">
      <w:fldChar w:fldCharType="separate"/>
    </w:r>
    <w:r w:rsidR="00B12948">
      <w:rPr>
        <w:noProof/>
      </w:rPr>
      <w:t>1</w:t>
    </w:r>
    <w:r w:rsidR="0083093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FB5" w:rsidRPr="006E421B" w:rsidRDefault="00147DAF" w:rsidP="006E421B">
    <w:pPr>
      <w:pStyle w:val="Footer"/>
      <w:tabs>
        <w:tab w:val="clear" w:pos="4680"/>
        <w:tab w:val="clear" w:pos="9360"/>
        <w:tab w:val="center" w:pos="2995"/>
      </w:tabs>
      <w:spacing w:before="120"/>
    </w:pPr>
    <w:r>
      <w:t>[375]</w:t>
    </w:r>
    <w:r>
      <w:tab/>
    </w:r>
    <w:r w:rsidR="00A0737A">
      <w:fldChar w:fldCharType="begin"/>
    </w:r>
    <w:r>
      <w:instrText xml:space="preserve"> PAGE  \* MERGEFORMAT </w:instrText>
    </w:r>
    <w:r w:rsidR="00A0737A">
      <w:fldChar w:fldCharType="separate"/>
    </w:r>
    <w:r w:rsidR="00B12948">
      <w:rPr>
        <w:noProof/>
      </w:rPr>
      <w:t>1</w:t>
    </w:r>
    <w:r w:rsidR="00A0737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7BA" w:rsidRDefault="006317BA" w:rsidP="009F0C77">
      <w:r>
        <w:separator/>
      </w:r>
    </w:p>
  </w:footnote>
  <w:footnote w:type="continuationSeparator" w:id="0">
    <w:p w:rsidR="006317BA" w:rsidRDefault="006317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24ZW13"/>
    <w:docVar w:name="CoverBillType" w:val="b"/>
    <w:docVar w:name="docpath" w:val="L:\Council\bills\GGS\22524ZW13.DOCX"/>
    <w:docVar w:name="dvBillNumber" w:val="375"/>
    <w:docVar w:name="dvBillNumberPrefix" w:val="S. "/>
    <w:docVar w:name="dvOriginalBody" w:val="Senate"/>
    <w:docVar w:name="dvSteno" w:val="GGS"/>
    <w:docVar w:name="NameofBody" w:val="s"/>
    <w:docVar w:name="vgroup2" w:val="Council"/>
  </w:docVars>
  <w:rsids>
    <w:rsidRoot w:val="00C51A91"/>
    <w:rsid w:val="00026C9A"/>
    <w:rsid w:val="00031A8C"/>
    <w:rsid w:val="00032576"/>
    <w:rsid w:val="000943FA"/>
    <w:rsid w:val="000965A1"/>
    <w:rsid w:val="000E1785"/>
    <w:rsid w:val="000E77A2"/>
    <w:rsid w:val="000F39F2"/>
    <w:rsid w:val="001023A4"/>
    <w:rsid w:val="0010776B"/>
    <w:rsid w:val="00133E66"/>
    <w:rsid w:val="00134ACF"/>
    <w:rsid w:val="00140E38"/>
    <w:rsid w:val="00144E15"/>
    <w:rsid w:val="00147DAF"/>
    <w:rsid w:val="00167260"/>
    <w:rsid w:val="00175CA8"/>
    <w:rsid w:val="001A4A62"/>
    <w:rsid w:val="001A681E"/>
    <w:rsid w:val="001B151B"/>
    <w:rsid w:val="001D08F2"/>
    <w:rsid w:val="001E21E5"/>
    <w:rsid w:val="002037CA"/>
    <w:rsid w:val="002047A2"/>
    <w:rsid w:val="002321B6"/>
    <w:rsid w:val="0023696B"/>
    <w:rsid w:val="00250967"/>
    <w:rsid w:val="00267BC7"/>
    <w:rsid w:val="002759C5"/>
    <w:rsid w:val="00277DEE"/>
    <w:rsid w:val="00280D88"/>
    <w:rsid w:val="00290DF2"/>
    <w:rsid w:val="00294ABE"/>
    <w:rsid w:val="0029501D"/>
    <w:rsid w:val="00296D53"/>
    <w:rsid w:val="002A3EB4"/>
    <w:rsid w:val="002C2A54"/>
    <w:rsid w:val="002F3DEC"/>
    <w:rsid w:val="00314E53"/>
    <w:rsid w:val="00325348"/>
    <w:rsid w:val="003338BB"/>
    <w:rsid w:val="00333F41"/>
    <w:rsid w:val="00352E08"/>
    <w:rsid w:val="00355FAB"/>
    <w:rsid w:val="00386819"/>
    <w:rsid w:val="003874D4"/>
    <w:rsid w:val="00393688"/>
    <w:rsid w:val="003A058C"/>
    <w:rsid w:val="003C1046"/>
    <w:rsid w:val="003D411E"/>
    <w:rsid w:val="003E3C1E"/>
    <w:rsid w:val="003E6148"/>
    <w:rsid w:val="00400EAA"/>
    <w:rsid w:val="0041760A"/>
    <w:rsid w:val="004233FE"/>
    <w:rsid w:val="004809EE"/>
    <w:rsid w:val="004853B1"/>
    <w:rsid w:val="004B525F"/>
    <w:rsid w:val="004C5005"/>
    <w:rsid w:val="004F3A7D"/>
    <w:rsid w:val="00511EE9"/>
    <w:rsid w:val="00515ED6"/>
    <w:rsid w:val="00521E00"/>
    <w:rsid w:val="00530EAC"/>
    <w:rsid w:val="00563D13"/>
    <w:rsid w:val="0057267D"/>
    <w:rsid w:val="00577C6C"/>
    <w:rsid w:val="0058501B"/>
    <w:rsid w:val="005B5551"/>
    <w:rsid w:val="005D1DB9"/>
    <w:rsid w:val="00617061"/>
    <w:rsid w:val="006215AA"/>
    <w:rsid w:val="006257FA"/>
    <w:rsid w:val="006317BA"/>
    <w:rsid w:val="006340D9"/>
    <w:rsid w:val="0063751C"/>
    <w:rsid w:val="00640500"/>
    <w:rsid w:val="00643B8E"/>
    <w:rsid w:val="006558BB"/>
    <w:rsid w:val="00665EBC"/>
    <w:rsid w:val="006661C2"/>
    <w:rsid w:val="00671582"/>
    <w:rsid w:val="00672CBF"/>
    <w:rsid w:val="00680A41"/>
    <w:rsid w:val="0069470D"/>
    <w:rsid w:val="00696949"/>
    <w:rsid w:val="006A476C"/>
    <w:rsid w:val="006A62A6"/>
    <w:rsid w:val="006C030A"/>
    <w:rsid w:val="006C673F"/>
    <w:rsid w:val="006C6A93"/>
    <w:rsid w:val="006D5CC1"/>
    <w:rsid w:val="006E02F9"/>
    <w:rsid w:val="006E421B"/>
    <w:rsid w:val="006E4954"/>
    <w:rsid w:val="006E54E6"/>
    <w:rsid w:val="007270C6"/>
    <w:rsid w:val="00741384"/>
    <w:rsid w:val="00753C04"/>
    <w:rsid w:val="00756946"/>
    <w:rsid w:val="00757F80"/>
    <w:rsid w:val="00771EEC"/>
    <w:rsid w:val="00773335"/>
    <w:rsid w:val="00786819"/>
    <w:rsid w:val="007A325A"/>
    <w:rsid w:val="007C6C5D"/>
    <w:rsid w:val="007F1523"/>
    <w:rsid w:val="007F509E"/>
    <w:rsid w:val="007F5799"/>
    <w:rsid w:val="007F6947"/>
    <w:rsid w:val="00813B96"/>
    <w:rsid w:val="0083093E"/>
    <w:rsid w:val="00860D4B"/>
    <w:rsid w:val="00872729"/>
    <w:rsid w:val="00892C7D"/>
    <w:rsid w:val="008F4429"/>
    <w:rsid w:val="00900A6E"/>
    <w:rsid w:val="0090137E"/>
    <w:rsid w:val="0092125C"/>
    <w:rsid w:val="00927169"/>
    <w:rsid w:val="00932670"/>
    <w:rsid w:val="009352BB"/>
    <w:rsid w:val="00990668"/>
    <w:rsid w:val="009D644F"/>
    <w:rsid w:val="009E44BB"/>
    <w:rsid w:val="009F0C77"/>
    <w:rsid w:val="009F4DD1"/>
    <w:rsid w:val="00A0737A"/>
    <w:rsid w:val="00A12437"/>
    <w:rsid w:val="00A14EDF"/>
    <w:rsid w:val="00A30F5F"/>
    <w:rsid w:val="00A64E80"/>
    <w:rsid w:val="00A741D9"/>
    <w:rsid w:val="00A9741D"/>
    <w:rsid w:val="00AD4B17"/>
    <w:rsid w:val="00AE288E"/>
    <w:rsid w:val="00AF7298"/>
    <w:rsid w:val="00B12948"/>
    <w:rsid w:val="00B26FA6"/>
    <w:rsid w:val="00B417E5"/>
    <w:rsid w:val="00B741CB"/>
    <w:rsid w:val="00B83620"/>
    <w:rsid w:val="00B934F3"/>
    <w:rsid w:val="00BB6347"/>
    <w:rsid w:val="00BB7ACB"/>
    <w:rsid w:val="00BC79D8"/>
    <w:rsid w:val="00BD2134"/>
    <w:rsid w:val="00BD7189"/>
    <w:rsid w:val="00BF09A1"/>
    <w:rsid w:val="00BF4E77"/>
    <w:rsid w:val="00C038D8"/>
    <w:rsid w:val="00C045DD"/>
    <w:rsid w:val="00C16106"/>
    <w:rsid w:val="00C24824"/>
    <w:rsid w:val="00C3136F"/>
    <w:rsid w:val="00C3483A"/>
    <w:rsid w:val="00C36FE9"/>
    <w:rsid w:val="00C51A91"/>
    <w:rsid w:val="00C74E9D"/>
    <w:rsid w:val="00C82FD3"/>
    <w:rsid w:val="00CC6B7B"/>
    <w:rsid w:val="00CD3619"/>
    <w:rsid w:val="00CF4447"/>
    <w:rsid w:val="00D405E7"/>
    <w:rsid w:val="00D41D56"/>
    <w:rsid w:val="00D45F8A"/>
    <w:rsid w:val="00D50F33"/>
    <w:rsid w:val="00D533AB"/>
    <w:rsid w:val="00D6260D"/>
    <w:rsid w:val="00D6662B"/>
    <w:rsid w:val="00D95E2F"/>
    <w:rsid w:val="00D970A9"/>
    <w:rsid w:val="00DA7328"/>
    <w:rsid w:val="00DB3AC0"/>
    <w:rsid w:val="00DC2A93"/>
    <w:rsid w:val="00DE68F0"/>
    <w:rsid w:val="00DF3845"/>
    <w:rsid w:val="00DF7E17"/>
    <w:rsid w:val="00E15489"/>
    <w:rsid w:val="00E64156"/>
    <w:rsid w:val="00E644DA"/>
    <w:rsid w:val="00E82800"/>
    <w:rsid w:val="00E97C73"/>
    <w:rsid w:val="00EA28A4"/>
    <w:rsid w:val="00EB00A2"/>
    <w:rsid w:val="00EB1BF3"/>
    <w:rsid w:val="00EB74DA"/>
    <w:rsid w:val="00EE2862"/>
    <w:rsid w:val="00EE3A49"/>
    <w:rsid w:val="00EF3EEE"/>
    <w:rsid w:val="00EF4B59"/>
    <w:rsid w:val="00F00266"/>
    <w:rsid w:val="00F149A7"/>
    <w:rsid w:val="00F257B1"/>
    <w:rsid w:val="00F46102"/>
    <w:rsid w:val="00F465E2"/>
    <w:rsid w:val="00F50BAF"/>
    <w:rsid w:val="00F52C10"/>
    <w:rsid w:val="00F81FFD"/>
    <w:rsid w:val="00F85228"/>
    <w:rsid w:val="00FA1FFF"/>
    <w:rsid w:val="00FB6773"/>
    <w:rsid w:val="00FC0EE8"/>
    <w:rsid w:val="00FD3965"/>
    <w:rsid w:val="00FD7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6763D4-3205-464E-A980-F10B6FE8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7C01"/>
    <w:rPr>
      <w:rFonts w:ascii="Tahoma" w:hAnsi="Tahoma" w:cs="Tahoma"/>
      <w:sz w:val="16"/>
      <w:szCs w:val="16"/>
    </w:rPr>
  </w:style>
  <w:style w:type="character" w:customStyle="1" w:styleId="BalloonTextChar">
    <w:name w:val="Balloon Text Char"/>
    <w:basedOn w:val="DefaultParagraphFont"/>
    <w:link w:val="BalloonText"/>
    <w:uiPriority w:val="99"/>
    <w:semiHidden/>
    <w:rsid w:val="00FD7C01"/>
    <w:rPr>
      <w:rFonts w:ascii="Tahoma" w:eastAsia="Times New Roman" w:hAnsi="Tahoma" w:cs="Tahoma"/>
      <w:sz w:val="16"/>
      <w:szCs w:val="16"/>
    </w:rPr>
  </w:style>
  <w:style w:type="character" w:styleId="Hyperlink">
    <w:name w:val="Hyperlink"/>
    <w:basedOn w:val="DefaultParagraphFont"/>
    <w:uiPriority w:val="99"/>
    <w:unhideWhenUsed/>
    <w:rsid w:val="00DC2A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2-13.docx" TargetMode="External"/><Relationship Id="rId13" Type="http://schemas.openxmlformats.org/officeDocument/2006/relationships/hyperlink" Target="file:///H:\SJ%20Archive\2014\05-22-14.docx" TargetMode="External"/><Relationship Id="rId18" Type="http://schemas.openxmlformats.org/officeDocument/2006/relationships/hyperlink" Target="file:///H:\HJ%20Archive\2014\06-05-14.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3-14\375_20140320.docx" TargetMode="External"/><Relationship Id="rId7" Type="http://schemas.openxmlformats.org/officeDocument/2006/relationships/hyperlink" Target="file:///H:\SJ%20Archive\2013\02-12-13.docx" TargetMode="External"/><Relationship Id="rId12" Type="http://schemas.openxmlformats.org/officeDocument/2006/relationships/hyperlink" Target="file:///H:\SJ%20Archive\2014\05-22-14.docx" TargetMode="External"/><Relationship Id="rId17" Type="http://schemas.openxmlformats.org/officeDocument/2006/relationships/hyperlink" Target="file:///H:\HJ%20Archive\2014\06-04-14.docx" TargetMode="External"/><Relationship Id="rId25" Type="http://schemas.openxmlformats.org/officeDocument/2006/relationships/hyperlink" Target="file:///p:\pprever\2013-14\375_20140605.docx" TargetMode="External"/><Relationship Id="rId2" Type="http://schemas.openxmlformats.org/officeDocument/2006/relationships/styles" Target="styles.xml"/><Relationship Id="rId16" Type="http://schemas.openxmlformats.org/officeDocument/2006/relationships/hyperlink" Target="file:///H:\HJ%20Archive\2014\06-03-14.docx" TargetMode="External"/><Relationship Id="rId20" Type="http://schemas.openxmlformats.org/officeDocument/2006/relationships/hyperlink" Target="file:///p:\pprever\2013-14\375_20140319.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01-14.docx" TargetMode="External"/><Relationship Id="rId24" Type="http://schemas.openxmlformats.org/officeDocument/2006/relationships/hyperlink" Target="file:///p:\pprever\2013-14\375_20140604.docx" TargetMode="External"/><Relationship Id="rId5" Type="http://schemas.openxmlformats.org/officeDocument/2006/relationships/footnotes" Target="footnotes.xml"/><Relationship Id="rId15" Type="http://schemas.openxmlformats.org/officeDocument/2006/relationships/hyperlink" Target="file:///H:\HJ%20Archive\2014\06-03-14.docx" TargetMode="External"/><Relationship Id="rId23" Type="http://schemas.openxmlformats.org/officeDocument/2006/relationships/hyperlink" Target="file:///p:\pprever\2013-14\375_20140502.docx" TargetMode="External"/><Relationship Id="rId28" Type="http://schemas.openxmlformats.org/officeDocument/2006/relationships/fontTable" Target="fontTable.xml"/><Relationship Id="rId10" Type="http://schemas.openxmlformats.org/officeDocument/2006/relationships/hyperlink" Target="file:///H:\SJ%20Archive\2014\04-30-14.docx" TargetMode="External"/><Relationship Id="rId19" Type="http://schemas.openxmlformats.org/officeDocument/2006/relationships/hyperlink" Target="file:///p:\pprever\2013-14\375_20130212.docx" TargetMode="External"/><Relationship Id="rId4" Type="http://schemas.openxmlformats.org/officeDocument/2006/relationships/webSettings" Target="webSettings.xml"/><Relationship Id="rId9" Type="http://schemas.openxmlformats.org/officeDocument/2006/relationships/hyperlink" Target="file:///H:\SJ%20Archive\2014\03-19-14.docx" TargetMode="External"/><Relationship Id="rId14" Type="http://schemas.openxmlformats.org/officeDocument/2006/relationships/hyperlink" Target="file:///H:\SJ%20Archive\2014\06-03-14.docx" TargetMode="External"/><Relationship Id="rId22" Type="http://schemas.openxmlformats.org/officeDocument/2006/relationships/hyperlink" Target="file:///p:\pprever\2013-14\375_20140501.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3046E-9A48-4FD0-B944-401EED171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3320</Words>
  <Characters>18928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375: Dilapidated Buildings Act - South Carolina Legislature Online</dc:title>
  <dc:subject/>
  <dc:creator>GloriaShackelford</dc:creator>
  <cp:keywords/>
  <dc:description/>
  <cp:lastModifiedBy>N Cumfer</cp:lastModifiedBy>
  <cp:revision>7</cp:revision>
  <cp:lastPrinted>2013-02-08T15:43:00Z</cp:lastPrinted>
  <dcterms:created xsi:type="dcterms:W3CDTF">2014-06-05T19:11:00Z</dcterms:created>
  <dcterms:modified xsi:type="dcterms:W3CDTF">2014-12-04T21:49:00Z</dcterms:modified>
</cp:coreProperties>
</file>