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74F" w:rsidRDefault="005A174F" w:rsidP="005A174F">
      <w:pPr>
        <w:widowControl w:val="0"/>
        <w:jc w:val="center"/>
      </w:pPr>
      <w:r w:rsidRPr="005A174F">
        <w:rPr>
          <w:b/>
        </w:rPr>
        <w:t>South Carolina General Assembly</w:t>
      </w:r>
    </w:p>
    <w:p w:rsidR="005A174F" w:rsidRDefault="005A174F" w:rsidP="005A174F">
      <w:pPr>
        <w:widowControl w:val="0"/>
        <w:jc w:val="center"/>
      </w:pPr>
      <w:r>
        <w:t>120th Session, 2013-2014</w:t>
      </w:r>
    </w:p>
    <w:p w:rsidR="005A174F" w:rsidRDefault="005A174F" w:rsidP="005A174F">
      <w:pPr>
        <w:widowControl w:val="0"/>
        <w:jc w:val="left"/>
      </w:pPr>
    </w:p>
    <w:p w:rsidR="005A174F" w:rsidRDefault="005A174F" w:rsidP="005A174F">
      <w:pPr>
        <w:widowControl w:val="0"/>
        <w:jc w:val="left"/>
        <w:rPr>
          <w:b/>
        </w:rPr>
      </w:pPr>
      <w:r w:rsidRPr="005A174F">
        <w:rPr>
          <w:b/>
        </w:rPr>
        <w:t>H. 4562</w:t>
      </w:r>
    </w:p>
    <w:p w:rsidR="005A174F" w:rsidRDefault="005A174F" w:rsidP="005A174F">
      <w:pPr>
        <w:widowControl w:val="0"/>
        <w:jc w:val="left"/>
        <w:rPr>
          <w:b/>
        </w:rPr>
      </w:pPr>
    </w:p>
    <w:p w:rsidR="005A174F" w:rsidRDefault="005A174F" w:rsidP="005A174F">
      <w:pPr>
        <w:widowControl w:val="0"/>
        <w:jc w:val="left"/>
      </w:pPr>
      <w:r w:rsidRPr="005A174F">
        <w:rPr>
          <w:b/>
        </w:rPr>
        <w:t>STATUS INFORMATION</w:t>
      </w:r>
    </w:p>
    <w:p w:rsidR="005A174F" w:rsidRDefault="005A174F" w:rsidP="005A174F">
      <w:pPr>
        <w:widowControl w:val="0"/>
        <w:jc w:val="left"/>
      </w:pPr>
    </w:p>
    <w:p w:rsidR="005A174F" w:rsidRDefault="005A174F" w:rsidP="005A174F">
      <w:pPr>
        <w:widowControl w:val="0"/>
        <w:jc w:val="left"/>
      </w:pPr>
      <w:r>
        <w:t>General Bill</w:t>
      </w:r>
    </w:p>
    <w:p w:rsidR="005A174F" w:rsidRDefault="005A174F" w:rsidP="005A174F">
      <w:pPr>
        <w:widowControl w:val="0"/>
        <w:jc w:val="left"/>
      </w:pPr>
      <w:r>
        <w:t>Sponsors: Reps. Limehouse, Whipper, McCoy, Sottile, Gilliard, R.L. Brown, Anderson, Barfield, Spires and Tallon</w:t>
      </w:r>
    </w:p>
    <w:p w:rsidR="005A174F" w:rsidRDefault="005A174F" w:rsidP="005A174F">
      <w:pPr>
        <w:widowControl w:val="0"/>
        <w:jc w:val="left"/>
      </w:pPr>
      <w:r>
        <w:t>Document Path: l:\council\bills\dka\3150ahb14.docx</w:t>
      </w:r>
    </w:p>
    <w:p w:rsidR="005A174F" w:rsidRDefault="005A174F" w:rsidP="005A174F">
      <w:pPr>
        <w:widowControl w:val="0"/>
        <w:jc w:val="left"/>
      </w:pPr>
    </w:p>
    <w:p w:rsidR="005A174F" w:rsidRDefault="005A174F" w:rsidP="005A174F">
      <w:pPr>
        <w:widowControl w:val="0"/>
        <w:jc w:val="left"/>
      </w:pPr>
      <w:r>
        <w:t>Introduced in the House on January 23, 2014</w:t>
      </w:r>
    </w:p>
    <w:p w:rsidR="005A174F" w:rsidRDefault="005A174F" w:rsidP="005A174F">
      <w:pPr>
        <w:widowControl w:val="0"/>
        <w:jc w:val="left"/>
      </w:pPr>
      <w:r>
        <w:t xml:space="preserve">Currently residing in the House Committee on </w:t>
      </w:r>
      <w:r w:rsidRPr="005A174F">
        <w:rPr>
          <w:b/>
        </w:rPr>
        <w:t>Judiciary</w:t>
      </w:r>
    </w:p>
    <w:p w:rsidR="005A174F" w:rsidRDefault="005A174F" w:rsidP="005A174F">
      <w:pPr>
        <w:widowControl w:val="0"/>
        <w:jc w:val="left"/>
      </w:pPr>
    </w:p>
    <w:p w:rsidR="005A174F" w:rsidRDefault="005A174F" w:rsidP="005A174F">
      <w:pPr>
        <w:widowControl w:val="0"/>
        <w:jc w:val="left"/>
      </w:pPr>
      <w:r>
        <w:t xml:space="preserve">Summary: </w:t>
      </w:r>
      <w:r w:rsidR="0007489C">
        <w:t>Knockout Game Prevention Act</w:t>
      </w:r>
    </w:p>
    <w:p w:rsidR="005A174F" w:rsidRDefault="005A174F" w:rsidP="005A174F">
      <w:pPr>
        <w:widowControl w:val="0"/>
        <w:jc w:val="left"/>
      </w:pPr>
    </w:p>
    <w:p w:rsidR="005A174F" w:rsidRDefault="005A174F" w:rsidP="005A174F">
      <w:pPr>
        <w:widowControl w:val="0"/>
        <w:jc w:val="left"/>
      </w:pPr>
    </w:p>
    <w:p w:rsidR="005A174F" w:rsidRDefault="005A174F" w:rsidP="005A174F">
      <w:pPr>
        <w:widowControl w:val="0"/>
        <w:tabs>
          <w:tab w:val="center" w:pos="590"/>
          <w:tab w:val="center" w:pos="1440"/>
          <w:tab w:val="left" w:pos="1872"/>
          <w:tab w:val="left" w:pos="9187"/>
        </w:tabs>
        <w:jc w:val="left"/>
      </w:pPr>
      <w:r w:rsidRPr="005A174F">
        <w:rPr>
          <w:b/>
        </w:rPr>
        <w:t>HISTORY OF LEGISLATIVE ACTIONS</w:t>
      </w:r>
    </w:p>
    <w:p w:rsidR="005A174F" w:rsidRDefault="005A174F" w:rsidP="005A174F">
      <w:pPr>
        <w:widowControl w:val="0"/>
        <w:tabs>
          <w:tab w:val="center" w:pos="590"/>
          <w:tab w:val="center" w:pos="1440"/>
          <w:tab w:val="left" w:pos="1872"/>
          <w:tab w:val="left" w:pos="9187"/>
        </w:tabs>
        <w:jc w:val="left"/>
      </w:pPr>
    </w:p>
    <w:p w:rsidR="005A174F" w:rsidRPr="005A174F" w:rsidRDefault="005A174F" w:rsidP="005A174F">
      <w:pPr>
        <w:widowControl w:val="0"/>
        <w:tabs>
          <w:tab w:val="center" w:pos="590"/>
          <w:tab w:val="center" w:pos="1440"/>
          <w:tab w:val="left" w:pos="1872"/>
          <w:tab w:val="left" w:pos="9187"/>
        </w:tabs>
        <w:jc w:val="left"/>
      </w:pPr>
      <w:r w:rsidRPr="005A174F">
        <w:rPr>
          <w:u w:val="single"/>
        </w:rPr>
        <w:tab/>
        <w:t>Date</w:t>
      </w:r>
      <w:r w:rsidRPr="005A174F">
        <w:rPr>
          <w:u w:val="single"/>
        </w:rPr>
        <w:tab/>
        <w:t>Body</w:t>
      </w:r>
      <w:r w:rsidRPr="005A174F">
        <w:rPr>
          <w:u w:val="single"/>
        </w:rPr>
        <w:tab/>
        <w:t>Action Description with journal page number</w:t>
      </w:r>
      <w:r w:rsidRPr="005A174F">
        <w:rPr>
          <w:u w:val="single"/>
        </w:rPr>
        <w:tab/>
      </w:r>
      <w:bookmarkStart w:id="0" w:name="_GoBack"/>
      <w:bookmarkEnd w:id="0"/>
    </w:p>
    <w:p w:rsidR="00A40650" w:rsidRDefault="00A40650" w:rsidP="00A40650">
      <w:pPr>
        <w:widowControl w:val="0"/>
        <w:tabs>
          <w:tab w:val="right" w:pos="1008"/>
          <w:tab w:val="left" w:pos="1152"/>
          <w:tab w:val="left" w:pos="1872"/>
          <w:tab w:val="left" w:pos="9187"/>
        </w:tabs>
        <w:ind w:left="2088" w:hanging="2088"/>
        <w:jc w:val="left"/>
      </w:pPr>
      <w:r>
        <w:tab/>
        <w:t>1/23/2014</w:t>
      </w:r>
      <w:r>
        <w:tab/>
        <w:t>House</w:t>
      </w:r>
      <w:r>
        <w:tab/>
      </w:r>
      <w:r w:rsidRPr="00DA429B">
        <w:t>Introduced and read first time (</w:t>
      </w:r>
      <w:hyperlink r:id="rId7" w:history="1">
        <w:r w:rsidRPr="00DA429B">
          <w:rPr>
            <w:rStyle w:val="Hyperlink"/>
          </w:rPr>
          <w:t>House Journal</w:t>
        </w:r>
        <w:r w:rsidRPr="00DA429B">
          <w:rPr>
            <w:rStyle w:val="Hyperlink"/>
          </w:rPr>
          <w:noBreakHyphen/>
          <w:t>page 31</w:t>
        </w:r>
      </w:hyperlink>
      <w:r w:rsidRPr="00DA429B">
        <w:t>)</w:t>
      </w:r>
    </w:p>
    <w:p w:rsidR="00A40650" w:rsidRDefault="00A40650" w:rsidP="00A40650">
      <w:pPr>
        <w:widowControl w:val="0"/>
        <w:tabs>
          <w:tab w:val="right" w:pos="1008"/>
          <w:tab w:val="left" w:pos="1152"/>
          <w:tab w:val="left" w:pos="1872"/>
          <w:tab w:val="left" w:pos="9187"/>
        </w:tabs>
        <w:ind w:left="2088" w:hanging="2088"/>
        <w:jc w:val="left"/>
      </w:pPr>
      <w:r>
        <w:tab/>
        <w:t>1/23/2014</w:t>
      </w:r>
      <w:r>
        <w:tab/>
        <w:t>House</w:t>
      </w:r>
      <w:r>
        <w:tab/>
      </w:r>
      <w:r w:rsidRPr="00DA429B">
        <w:t>Ref</w:t>
      </w:r>
      <w:r>
        <w:t xml:space="preserve">erred to Committee on </w:t>
      </w:r>
      <w:r w:rsidRPr="00DA429B">
        <w:rPr>
          <w:b/>
        </w:rPr>
        <w:t>Judiciary</w:t>
      </w:r>
      <w:r>
        <w:t xml:space="preserve"> </w:t>
      </w:r>
      <w:r w:rsidRPr="00DA429B">
        <w:t>(</w:t>
      </w:r>
      <w:hyperlink r:id="rId8" w:history="1">
        <w:r w:rsidRPr="00DA429B">
          <w:rPr>
            <w:rStyle w:val="Hyperlink"/>
          </w:rPr>
          <w:t>House Journal</w:t>
        </w:r>
        <w:r w:rsidRPr="00DA429B">
          <w:rPr>
            <w:rStyle w:val="Hyperlink"/>
          </w:rPr>
          <w:noBreakHyphen/>
          <w:t>page 31</w:t>
        </w:r>
      </w:hyperlink>
      <w:r w:rsidRPr="00DA429B">
        <w:t>)</w:t>
      </w:r>
    </w:p>
    <w:p w:rsidR="00A40650" w:rsidRDefault="00A40650" w:rsidP="00A40650">
      <w:pPr>
        <w:widowControl w:val="0"/>
        <w:tabs>
          <w:tab w:val="right" w:pos="1008"/>
          <w:tab w:val="left" w:pos="1152"/>
          <w:tab w:val="left" w:pos="1872"/>
          <w:tab w:val="left" w:pos="9187"/>
        </w:tabs>
        <w:ind w:left="2088" w:hanging="2088"/>
        <w:jc w:val="left"/>
      </w:pPr>
    </w:p>
    <w:p w:rsidR="005A174F" w:rsidRPr="005A174F" w:rsidRDefault="005A174F" w:rsidP="005A174F">
      <w:pPr>
        <w:widowControl w:val="0"/>
        <w:tabs>
          <w:tab w:val="right" w:pos="1008"/>
          <w:tab w:val="left" w:pos="1152"/>
          <w:tab w:val="left" w:pos="1872"/>
          <w:tab w:val="left" w:pos="9187"/>
        </w:tabs>
        <w:ind w:left="2088" w:hanging="2088"/>
        <w:jc w:val="left"/>
      </w:pPr>
    </w:p>
    <w:p w:rsidR="005A174F" w:rsidRDefault="005A174F" w:rsidP="005A174F">
      <w:pPr>
        <w:widowControl w:val="0"/>
        <w:jc w:val="left"/>
      </w:pPr>
      <w:r w:rsidRPr="005A174F">
        <w:rPr>
          <w:b/>
        </w:rPr>
        <w:t>VERSIONS OF THIS BILL</w:t>
      </w:r>
    </w:p>
    <w:p w:rsidR="005A174F" w:rsidRDefault="005A174F" w:rsidP="005A174F">
      <w:pPr>
        <w:widowControl w:val="0"/>
        <w:jc w:val="left"/>
      </w:pPr>
    </w:p>
    <w:p w:rsidR="005A174F" w:rsidRDefault="00790042" w:rsidP="005A174F">
      <w:pPr>
        <w:widowControl w:val="0"/>
        <w:jc w:val="left"/>
      </w:pPr>
      <w:hyperlink r:id="rId9" w:history="1">
        <w:r w:rsidR="005A174F">
          <w:rPr>
            <w:rStyle w:val="Hyperlink"/>
          </w:rPr>
          <w:t>1/23/2014</w:t>
        </w:r>
      </w:hyperlink>
    </w:p>
    <w:p w:rsidR="005A174F" w:rsidRDefault="005A174F" w:rsidP="005A174F"/>
    <w:p w:rsidR="005A174F" w:rsidRDefault="005A174F" w:rsidP="005A174F">
      <w:pPr>
        <w:sectPr w:rsidR="005A174F" w:rsidSect="005A174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3B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2C4" w:rsidRPr="00A206CC" w:rsidRDefault="00EF42C4" w:rsidP="00EF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206CC">
        <w:rPr>
          <w:color w:val="000000" w:themeColor="text1"/>
          <w:u w:color="000000" w:themeColor="text1"/>
        </w:rPr>
        <w:t>TO AMEND THE CODE OF LAWS OF SOUTH CAROLINA, 1976, BY ADDING SECTION 16</w:t>
      </w:r>
      <w:r>
        <w:rPr>
          <w:color w:val="000000" w:themeColor="text1"/>
          <w:u w:color="000000" w:themeColor="text1"/>
        </w:rPr>
        <w:noBreakHyphen/>
      </w:r>
      <w:r w:rsidRPr="00A206CC">
        <w:rPr>
          <w:color w:val="000000" w:themeColor="text1"/>
          <w:u w:color="000000" w:themeColor="text1"/>
        </w:rPr>
        <w:t>3</w:t>
      </w:r>
      <w:r>
        <w:rPr>
          <w:color w:val="000000" w:themeColor="text1"/>
          <w:u w:color="000000" w:themeColor="text1"/>
        </w:rPr>
        <w:noBreakHyphen/>
      </w:r>
      <w:r w:rsidRPr="00A206CC">
        <w:rPr>
          <w:color w:val="000000" w:themeColor="text1"/>
          <w:u w:color="000000" w:themeColor="text1"/>
        </w:rPr>
        <w:t>760 SO AS TO ENACT THE “KNOCKOUT GAME PREVENTION ACT”, TO PROVIDE THAT A PERSON WHO COMMITS AN ASSAULT AND BATTERY UPON ANOTHER PERSON WITH INTENT TO CAUSE THAT PERSON TO LOSE CONSCIOUSNESS IS GUILTY OF THE OFFENSE OF ASSAULT AND BATTERY OF A HIGH AND AGGRAVATED NATURE AND MUST BE PUNISHED AS PROVIDED FOR THAT OFFENSE, TO PROVIDE THAT A PERSON WHO VIOLATES THE PROVISIONS OF THIS SECTION MAY BE TRIED AS AN ADULT UNDER CERTAIN CIRCUMSTANCES, AND TO PROVIDE THAT A CONVICTION PURSUANT TO THIS SECTION IS CONSIDERED EVIDENCE OF CRIMINAL GANG ACTIVITY; AND TO AMEND SECTION 16</w:t>
      </w:r>
      <w:r>
        <w:rPr>
          <w:color w:val="000000" w:themeColor="text1"/>
          <w:u w:color="000000" w:themeColor="text1"/>
        </w:rPr>
        <w:noBreakHyphen/>
      </w:r>
      <w:r w:rsidRPr="00A206CC">
        <w:rPr>
          <w:color w:val="000000" w:themeColor="text1"/>
          <w:u w:color="000000" w:themeColor="text1"/>
        </w:rPr>
        <w:t>8</w:t>
      </w:r>
      <w:r>
        <w:rPr>
          <w:color w:val="000000" w:themeColor="text1"/>
          <w:u w:color="000000" w:themeColor="text1"/>
        </w:rPr>
        <w:noBreakHyphen/>
      </w:r>
      <w:r w:rsidRPr="00A206CC">
        <w:rPr>
          <w:color w:val="000000" w:themeColor="text1"/>
          <w:u w:color="000000" w:themeColor="text1"/>
        </w:rPr>
        <w:t>230, RELATING TO DEFINITIONS FOR PURPOSES OF THE CRIMINAL GANG PREVENTION ACT, SO AS TO REVISE THE DEFINITION OF “CRIMINAL GANG ACTIVITY” TO INCLUDE AN OFFENSE PURSUANT TO THE KNOCKOUT GAME PREVENTION ACT.</w:t>
      </w:r>
    </w:p>
    <w:p w:rsidR="008D3B4C" w:rsidRDefault="008D3B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3B4C" w:rsidRDefault="008D3B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3B4C" w:rsidRDefault="008D3B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2C4" w:rsidRPr="00A206CC" w:rsidRDefault="008D3B4C" w:rsidP="00EF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F42C4" w:rsidRPr="00A206CC">
        <w:rPr>
          <w:color w:val="000000" w:themeColor="text1"/>
          <w:u w:color="000000" w:themeColor="text1"/>
        </w:rPr>
        <w:t>This act may be cited as the “Knockout Game Prevention Act”.</w:t>
      </w:r>
    </w:p>
    <w:p w:rsidR="00EF42C4" w:rsidRPr="00A206CC" w:rsidRDefault="00EF42C4" w:rsidP="00EF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42C4" w:rsidRPr="00A206CC" w:rsidRDefault="00EF42C4" w:rsidP="00EF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06CC">
        <w:rPr>
          <w:color w:val="000000" w:themeColor="text1"/>
          <w:u w:color="000000" w:themeColor="text1"/>
        </w:rPr>
        <w:t>SECTION</w:t>
      </w:r>
      <w:r w:rsidRPr="00A206CC">
        <w:rPr>
          <w:color w:val="000000" w:themeColor="text1"/>
          <w:u w:color="000000" w:themeColor="text1"/>
        </w:rPr>
        <w:tab/>
        <w:t>2.</w:t>
      </w:r>
      <w:r w:rsidRPr="00A206CC">
        <w:rPr>
          <w:color w:val="000000" w:themeColor="text1"/>
          <w:u w:color="000000" w:themeColor="text1"/>
        </w:rPr>
        <w:tab/>
        <w:t>Article 7, Chapter 3, Title 16 of the 1976 Code is amended by adding:</w:t>
      </w:r>
    </w:p>
    <w:p w:rsidR="00EF42C4" w:rsidRPr="00A206CC" w:rsidRDefault="00EF42C4" w:rsidP="00EF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42C4" w:rsidRPr="00A206CC" w:rsidRDefault="00EF42C4" w:rsidP="00EF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06CC">
        <w:rPr>
          <w:color w:val="000000" w:themeColor="text1"/>
          <w:u w:color="000000" w:themeColor="text1"/>
        </w:rPr>
        <w:tab/>
        <w:t>“Section 16</w:t>
      </w:r>
      <w:r>
        <w:rPr>
          <w:color w:val="000000" w:themeColor="text1"/>
          <w:u w:color="000000" w:themeColor="text1"/>
        </w:rPr>
        <w:noBreakHyphen/>
      </w:r>
      <w:r w:rsidRPr="00A206CC">
        <w:rPr>
          <w:color w:val="000000" w:themeColor="text1"/>
          <w:u w:color="000000" w:themeColor="text1"/>
        </w:rPr>
        <w:t>3</w:t>
      </w:r>
      <w:r>
        <w:rPr>
          <w:color w:val="000000" w:themeColor="text1"/>
          <w:u w:color="000000" w:themeColor="text1"/>
        </w:rPr>
        <w:noBreakHyphen/>
      </w:r>
      <w:r w:rsidRPr="00A206CC">
        <w:rPr>
          <w:color w:val="000000" w:themeColor="text1"/>
          <w:u w:color="000000" w:themeColor="text1"/>
        </w:rPr>
        <w:t>760.</w:t>
      </w:r>
      <w:r w:rsidRPr="00A206CC">
        <w:rPr>
          <w:color w:val="000000" w:themeColor="text1"/>
          <w:u w:color="000000" w:themeColor="text1"/>
        </w:rPr>
        <w:tab/>
        <w:t>(A)</w:t>
      </w:r>
      <w:r w:rsidRPr="00A206CC">
        <w:rPr>
          <w:color w:val="000000" w:themeColor="text1"/>
          <w:u w:color="000000" w:themeColor="text1"/>
        </w:rPr>
        <w:tab/>
        <w:t xml:space="preserve">A person who commits an assault and battery upon another person with intent to cause that person to lose </w:t>
      </w:r>
      <w:r w:rsidRPr="00A206CC">
        <w:rPr>
          <w:color w:val="000000" w:themeColor="text1"/>
          <w:u w:color="000000" w:themeColor="text1"/>
        </w:rPr>
        <w:lastRenderedPageBreak/>
        <w:t>consciousness is guilty of the felony offense of assault and battery of a high and aggravated nature and must be punished, upon conviction, as provided in Section 16</w:t>
      </w:r>
      <w:r>
        <w:rPr>
          <w:color w:val="000000" w:themeColor="text1"/>
          <w:u w:color="000000" w:themeColor="text1"/>
        </w:rPr>
        <w:noBreakHyphen/>
      </w:r>
      <w:r w:rsidRPr="00A206CC">
        <w:rPr>
          <w:color w:val="000000" w:themeColor="text1"/>
          <w:u w:color="000000" w:themeColor="text1"/>
        </w:rPr>
        <w:t>3</w:t>
      </w:r>
      <w:r>
        <w:rPr>
          <w:color w:val="000000" w:themeColor="text1"/>
          <w:u w:color="000000" w:themeColor="text1"/>
        </w:rPr>
        <w:noBreakHyphen/>
      </w:r>
      <w:r w:rsidRPr="00A206CC">
        <w:rPr>
          <w:color w:val="000000" w:themeColor="text1"/>
          <w:u w:color="000000" w:themeColor="text1"/>
        </w:rPr>
        <w:t>600(B).  In addition, a person who violates the provisions of this section who is under the age of seventeen, in the discretion of the judge, may be transferred to general sessions court to be tried as an adult.</w:t>
      </w:r>
    </w:p>
    <w:p w:rsidR="00EF42C4" w:rsidRPr="00A206CC" w:rsidRDefault="00EF42C4" w:rsidP="00EF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06CC">
        <w:rPr>
          <w:color w:val="000000" w:themeColor="text1"/>
          <w:u w:color="000000" w:themeColor="text1"/>
        </w:rPr>
        <w:tab/>
        <w:t>(B)</w:t>
      </w:r>
      <w:r w:rsidRPr="00A206CC">
        <w:rPr>
          <w:color w:val="000000" w:themeColor="text1"/>
          <w:u w:color="000000" w:themeColor="text1"/>
        </w:rPr>
        <w:tab/>
        <w:t>A conviction for a violation of the provisions of this section is considered to be evidence of criminal gang activity as defined in Section 16</w:t>
      </w:r>
      <w:r>
        <w:rPr>
          <w:color w:val="000000" w:themeColor="text1"/>
          <w:u w:color="000000" w:themeColor="text1"/>
        </w:rPr>
        <w:noBreakHyphen/>
      </w:r>
      <w:r w:rsidRPr="00A206CC">
        <w:rPr>
          <w:color w:val="000000" w:themeColor="text1"/>
          <w:u w:color="000000" w:themeColor="text1"/>
        </w:rPr>
        <w:t>8</w:t>
      </w:r>
      <w:r>
        <w:rPr>
          <w:color w:val="000000" w:themeColor="text1"/>
          <w:u w:color="000000" w:themeColor="text1"/>
        </w:rPr>
        <w:noBreakHyphen/>
      </w:r>
      <w:r w:rsidRPr="00A206CC">
        <w:rPr>
          <w:color w:val="000000" w:themeColor="text1"/>
          <w:u w:color="000000" w:themeColor="text1"/>
        </w:rPr>
        <w:t>230.”</w:t>
      </w:r>
    </w:p>
    <w:p w:rsidR="00EF42C4" w:rsidRPr="00A206CC" w:rsidRDefault="00EF42C4" w:rsidP="00EF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42C4" w:rsidRPr="00A206CC" w:rsidRDefault="00EF42C4" w:rsidP="00EF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06CC">
        <w:rPr>
          <w:color w:val="000000" w:themeColor="text1"/>
          <w:u w:color="000000" w:themeColor="text1"/>
        </w:rPr>
        <w:t>SECTION</w:t>
      </w:r>
      <w:r w:rsidRPr="00A206CC">
        <w:rPr>
          <w:color w:val="000000" w:themeColor="text1"/>
          <w:u w:color="000000" w:themeColor="text1"/>
        </w:rPr>
        <w:tab/>
        <w:t>3.</w:t>
      </w:r>
      <w:r w:rsidRPr="00A206CC">
        <w:rPr>
          <w:color w:val="000000" w:themeColor="text1"/>
          <w:u w:color="000000" w:themeColor="text1"/>
        </w:rPr>
        <w:tab/>
        <w:t>Section 16</w:t>
      </w:r>
      <w:r>
        <w:rPr>
          <w:color w:val="000000" w:themeColor="text1"/>
          <w:u w:color="000000" w:themeColor="text1"/>
        </w:rPr>
        <w:noBreakHyphen/>
      </w:r>
      <w:r w:rsidRPr="00A206CC">
        <w:rPr>
          <w:color w:val="000000" w:themeColor="text1"/>
          <w:u w:color="000000" w:themeColor="text1"/>
        </w:rPr>
        <w:t>8</w:t>
      </w:r>
      <w:r>
        <w:rPr>
          <w:color w:val="000000" w:themeColor="text1"/>
          <w:u w:color="000000" w:themeColor="text1"/>
        </w:rPr>
        <w:noBreakHyphen/>
      </w:r>
      <w:r w:rsidRPr="00A206CC">
        <w:rPr>
          <w:color w:val="000000" w:themeColor="text1"/>
          <w:u w:color="000000" w:themeColor="text1"/>
        </w:rPr>
        <w:t>230(4) of the 1976 Code, as added by Act 82 of 2007, is amended by adding an appropriately lettered subitem at the end to read:</w:t>
      </w:r>
    </w:p>
    <w:p w:rsidR="00EF42C4" w:rsidRPr="00A206CC" w:rsidRDefault="00EF42C4" w:rsidP="00EF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42C4" w:rsidRPr="00A206CC" w:rsidRDefault="00EF42C4" w:rsidP="00EF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06CC">
        <w:rPr>
          <w:color w:val="000000" w:themeColor="text1"/>
          <w:u w:color="000000" w:themeColor="text1"/>
        </w:rPr>
        <w:tab/>
        <w:t>“( )</w:t>
      </w:r>
      <w:r w:rsidRPr="00A206CC">
        <w:rPr>
          <w:color w:val="000000" w:themeColor="text1"/>
          <w:u w:color="000000" w:themeColor="text1"/>
        </w:rPr>
        <w:tab/>
        <w:t>assault and battery of high and aggravated nature pursuant to Section 16</w:t>
      </w:r>
      <w:r>
        <w:rPr>
          <w:color w:val="000000" w:themeColor="text1"/>
          <w:u w:color="000000" w:themeColor="text1"/>
        </w:rPr>
        <w:noBreakHyphen/>
      </w:r>
      <w:r w:rsidRPr="00A206CC">
        <w:rPr>
          <w:color w:val="000000" w:themeColor="text1"/>
          <w:u w:color="000000" w:themeColor="text1"/>
        </w:rPr>
        <w:t>3</w:t>
      </w:r>
      <w:r>
        <w:rPr>
          <w:color w:val="000000" w:themeColor="text1"/>
          <w:u w:color="000000" w:themeColor="text1"/>
        </w:rPr>
        <w:noBreakHyphen/>
      </w:r>
      <w:r w:rsidRPr="00A206CC">
        <w:rPr>
          <w:color w:val="000000" w:themeColor="text1"/>
          <w:u w:color="000000" w:themeColor="text1"/>
        </w:rPr>
        <w:t>760, the Knockout Game Prevention Act.”</w:t>
      </w:r>
    </w:p>
    <w:p w:rsidR="008D3B4C" w:rsidRDefault="008D3B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3B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42C4">
        <w:t>4</w:t>
      </w:r>
      <w:r>
        <w:t>.</w:t>
      </w:r>
      <w:r>
        <w:tab/>
        <w:t>This act takes effect upon approval by the Governor.</w:t>
      </w:r>
    </w:p>
    <w:p w:rsidR="00492FFF" w:rsidRDefault="00EF42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2FFF" w:rsidRDefault="00492FFF" w:rsidP="005A174F">
      <w:pPr>
        <w:suppressAutoHyphens/>
      </w:pPr>
    </w:p>
    <w:sectPr w:rsidR="00492FFF" w:rsidSect="005A174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B4C" w:rsidRDefault="008D3B4C" w:rsidP="009F0C77">
      <w:r>
        <w:separator/>
      </w:r>
    </w:p>
  </w:endnote>
  <w:endnote w:type="continuationSeparator" w:id="0">
    <w:p w:rsidR="008D3B4C" w:rsidRDefault="008D3B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24C95F-6871-41E7-A6FF-EA9ACB20D516}"/>
    <w:embedBold r:id="rId2" w:fontKey="{DEB05D12-99D6-4324-AEAC-A0C7A082F39F}"/>
  </w:font>
  <w:font w:name="Calibri">
    <w:panose1 w:val="020F0502020204030204"/>
    <w:charset w:val="00"/>
    <w:family w:val="swiss"/>
    <w:pitch w:val="variable"/>
    <w:sig w:usb0="E10002FF" w:usb1="4000ACFF" w:usb2="00000009" w:usb3="00000000" w:csb0="0000019F" w:csb1="00000000"/>
    <w:embedRegular r:id="rId3" w:fontKey="{EDED25CB-65CD-49CC-BD65-5C1FAD974D51}"/>
  </w:font>
  <w:font w:name="Cambria">
    <w:panose1 w:val="02040503050406030204"/>
    <w:charset w:val="00"/>
    <w:family w:val="roman"/>
    <w:pitch w:val="variable"/>
    <w:sig w:usb0="E00002FF" w:usb1="400004FF" w:usb2="00000000" w:usb3="00000000" w:csb0="0000019F" w:csb1="00000000"/>
    <w:embedRegular r:id="rId4" w:fontKey="{C335BC97-FA8B-421D-AAA9-899397CEDB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74F" w:rsidRPr="00492FFF" w:rsidRDefault="005A174F" w:rsidP="00492FFF">
    <w:pPr>
      <w:pStyle w:val="Footer"/>
      <w:tabs>
        <w:tab w:val="clear" w:pos="4680"/>
        <w:tab w:val="clear" w:pos="9360"/>
        <w:tab w:val="center" w:pos="2995"/>
      </w:tabs>
      <w:spacing w:before="120"/>
    </w:pPr>
    <w:r>
      <w:t>[4562]</w:t>
    </w:r>
    <w:r>
      <w:tab/>
    </w:r>
    <w:r w:rsidR="00410FB0">
      <w:fldChar w:fldCharType="begin"/>
    </w:r>
    <w:r w:rsidR="00410FB0">
      <w:instrText xml:space="preserve"> PAGE  \* MERGEFORMAT </w:instrText>
    </w:r>
    <w:r w:rsidR="00410FB0">
      <w:fldChar w:fldCharType="separate"/>
    </w:r>
    <w:r w:rsidR="00790042">
      <w:rPr>
        <w:noProof/>
      </w:rPr>
      <w:t>1</w:t>
    </w:r>
    <w:r w:rsidR="00410FB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B4C" w:rsidRDefault="008D3B4C" w:rsidP="009F0C77">
      <w:r>
        <w:separator/>
      </w:r>
    </w:p>
  </w:footnote>
  <w:footnote w:type="continuationSeparator" w:id="0">
    <w:p w:rsidR="008D3B4C" w:rsidRDefault="008D3B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50AHB14"/>
    <w:docVar w:name="CoverBillType" w:val="b"/>
    <w:docVar w:name="docpath" w:val="L:\Council\bills\DKA\3150AHB14.DOCX"/>
    <w:docVar w:name="dvBillNumber" w:val="4562"/>
    <w:docVar w:name="dvBillNumberPrefix" w:val="H. "/>
    <w:docVar w:name="dvOriginalBody" w:val="House"/>
    <w:docVar w:name="dvSteno" w:val="DKA"/>
    <w:docVar w:name="NameofBody" w:val="h"/>
    <w:docVar w:name="vgroup2" w:val="Council"/>
  </w:docVars>
  <w:rsids>
    <w:rsidRoot w:val="009770AC"/>
    <w:rsid w:val="00011869"/>
    <w:rsid w:val="0007489C"/>
    <w:rsid w:val="000E1785"/>
    <w:rsid w:val="000F40FA"/>
    <w:rsid w:val="0010776B"/>
    <w:rsid w:val="00133E66"/>
    <w:rsid w:val="001435A3"/>
    <w:rsid w:val="001836CF"/>
    <w:rsid w:val="001D08F2"/>
    <w:rsid w:val="001D525B"/>
    <w:rsid w:val="001D7F4F"/>
    <w:rsid w:val="001E0CD3"/>
    <w:rsid w:val="002321B6"/>
    <w:rsid w:val="00250967"/>
    <w:rsid w:val="002543C8"/>
    <w:rsid w:val="00284AAE"/>
    <w:rsid w:val="002E5912"/>
    <w:rsid w:val="00301B21"/>
    <w:rsid w:val="00325348"/>
    <w:rsid w:val="0032732C"/>
    <w:rsid w:val="00336AD0"/>
    <w:rsid w:val="0037079A"/>
    <w:rsid w:val="003D01E8"/>
    <w:rsid w:val="003E5288"/>
    <w:rsid w:val="003F6D79"/>
    <w:rsid w:val="00410FB0"/>
    <w:rsid w:val="0041760A"/>
    <w:rsid w:val="00417C01"/>
    <w:rsid w:val="004809EE"/>
    <w:rsid w:val="00492FFF"/>
    <w:rsid w:val="004E7D54"/>
    <w:rsid w:val="005273C6"/>
    <w:rsid w:val="00530A69"/>
    <w:rsid w:val="00545593"/>
    <w:rsid w:val="00571B24"/>
    <w:rsid w:val="00577C6C"/>
    <w:rsid w:val="005A174F"/>
    <w:rsid w:val="005C2FE2"/>
    <w:rsid w:val="005E2BC9"/>
    <w:rsid w:val="00605102"/>
    <w:rsid w:val="006215AA"/>
    <w:rsid w:val="006913C9"/>
    <w:rsid w:val="0069470D"/>
    <w:rsid w:val="00714605"/>
    <w:rsid w:val="00734F00"/>
    <w:rsid w:val="00790042"/>
    <w:rsid w:val="007A70AE"/>
    <w:rsid w:val="008362E8"/>
    <w:rsid w:val="008A1768"/>
    <w:rsid w:val="008D3B4C"/>
    <w:rsid w:val="008F0F33"/>
    <w:rsid w:val="008F4429"/>
    <w:rsid w:val="0094021A"/>
    <w:rsid w:val="009770AC"/>
    <w:rsid w:val="009830B3"/>
    <w:rsid w:val="009B44AF"/>
    <w:rsid w:val="009C6A0B"/>
    <w:rsid w:val="009F0C77"/>
    <w:rsid w:val="009F4DD1"/>
    <w:rsid w:val="00A2282F"/>
    <w:rsid w:val="00A40650"/>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D6F2C"/>
    <w:rsid w:val="00EF42C4"/>
    <w:rsid w:val="00F24442"/>
    <w:rsid w:val="00F33A36"/>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C319348-E09D-4195-BCE2-0438AC591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A17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23-14.docx" TargetMode="External"/><Relationship Id="rId3" Type="http://schemas.openxmlformats.org/officeDocument/2006/relationships/settings" Target="settings.xml"/><Relationship Id="rId7" Type="http://schemas.openxmlformats.org/officeDocument/2006/relationships/hyperlink" Target="file:///H:\HJ%20Archive\2014\01-23-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562_2014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D6899-C475-4890-9B87-BFBE989A4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442</Words>
  <Characters>2520</Characters>
  <Application>Microsoft Office Word</Application>
  <DocSecurity>0</DocSecurity>
  <Lines>21</Lines>
  <Paragraphs>5</Paragraphs>
  <ScaleCrop>false</ScaleCrop>
  <Company>LPITS</Company>
  <LinksUpToDate>false</LinksUpToDate>
  <CharactersWithSpaces>2957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4562: Knockout Game Prevention Act - South Carolina Legislature Online</dc:title>
  <dc:creator>sharonpair</dc:creator>
  <cp:lastModifiedBy>N Cumfer</cp:lastModifiedBy>
  <cp:revision>6</cp:revision>
  <cp:lastPrinted>2014-01-22T20:28:00Z</cp:lastPrinted>
  <dcterms:created xsi:type="dcterms:W3CDTF">2014-01-23T17:49:00Z</dcterms:created>
  <dcterms:modified xsi:type="dcterms:W3CDTF">2014-12-05T16:58:00Z</dcterms:modified>
</cp:coreProperties>
</file>