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63A" w:rsidRPr="00E2663A" w:rsidRDefault="00E2663A"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2663A">
        <w:rPr>
          <w:rFonts w:eastAsia="Times New Roman" w:cs="Times New Roman"/>
          <w:b/>
          <w:szCs w:val="20"/>
        </w:rPr>
        <w:t>South Carolina General Assembly</w:t>
      </w:r>
    </w:p>
    <w:p w:rsidR="00E2663A" w:rsidRPr="00E2663A" w:rsidRDefault="00E2663A"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2663A">
        <w:rPr>
          <w:rFonts w:eastAsia="Times New Roman" w:cs="Times New Roman"/>
          <w:szCs w:val="20"/>
        </w:rPr>
        <w:t>120th Session, 2013-2014</w:t>
      </w:r>
    </w:p>
    <w:p w:rsidR="00E2663A" w:rsidRPr="00E2663A" w:rsidRDefault="00E2663A"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663A" w:rsidRPr="00E2663A" w:rsidRDefault="001D0CB8"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A256, R306, H4732</w:t>
      </w:r>
    </w:p>
    <w:p w:rsidR="00E2663A" w:rsidRPr="00E2663A" w:rsidRDefault="00E2663A"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2663A" w:rsidRPr="00E2663A" w:rsidRDefault="00E2663A"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663A">
        <w:rPr>
          <w:rFonts w:eastAsia="Times New Roman" w:cs="Times New Roman"/>
          <w:b/>
          <w:szCs w:val="20"/>
        </w:rPr>
        <w:t>STATUS INFORMATION</w:t>
      </w:r>
    </w:p>
    <w:p w:rsidR="00E2663A" w:rsidRPr="00E2663A" w:rsidRDefault="00E2663A"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663A" w:rsidRPr="00E2663A" w:rsidRDefault="00E2663A"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663A">
        <w:rPr>
          <w:rFonts w:eastAsia="Times New Roman" w:cs="Times New Roman"/>
          <w:szCs w:val="20"/>
        </w:rPr>
        <w:t>General Bill</w:t>
      </w:r>
    </w:p>
    <w:p w:rsidR="00E2663A" w:rsidRPr="00E2663A" w:rsidRDefault="00E2663A"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663A">
        <w:rPr>
          <w:rFonts w:eastAsia="Times New Roman" w:cs="Times New Roman"/>
          <w:szCs w:val="20"/>
        </w:rPr>
        <w:t>Sponsors: Reps. J.E. Smith and Clemmons</w:t>
      </w:r>
    </w:p>
    <w:p w:rsidR="00E2663A" w:rsidRPr="00E2663A" w:rsidRDefault="00E2663A"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663A">
        <w:rPr>
          <w:rFonts w:eastAsia="Times New Roman" w:cs="Times New Roman"/>
          <w:szCs w:val="20"/>
        </w:rPr>
        <w:t>Document Path: l:\council\bills\bbm\9023htc14.docx</w:t>
      </w:r>
    </w:p>
    <w:p w:rsidR="00E2663A" w:rsidRPr="00E2663A" w:rsidRDefault="00E2663A"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448F1" w:rsidRDefault="007448F1"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20, 2014</w:t>
      </w:r>
    </w:p>
    <w:p w:rsidR="007448F1" w:rsidRDefault="007448F1"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2014</w:t>
      </w:r>
    </w:p>
    <w:p w:rsidR="007448F1" w:rsidRDefault="007448F1"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2014</w:t>
      </w:r>
    </w:p>
    <w:p w:rsidR="007448F1" w:rsidRDefault="007448F1"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2014, Signed</w:t>
      </w:r>
    </w:p>
    <w:p w:rsidR="007448F1" w:rsidRDefault="007448F1"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663A" w:rsidRPr="00E2663A" w:rsidRDefault="00E2663A"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663A">
        <w:rPr>
          <w:rFonts w:eastAsia="Times New Roman" w:cs="Times New Roman"/>
          <w:szCs w:val="20"/>
        </w:rPr>
        <w:t>Summary: Party conventions or party primary elections</w:t>
      </w:r>
    </w:p>
    <w:p w:rsidR="00E2663A" w:rsidRPr="00E2663A" w:rsidRDefault="00E2663A"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663A" w:rsidRPr="00E2663A" w:rsidRDefault="00E2663A"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663A" w:rsidRPr="00E2663A" w:rsidRDefault="00E2663A" w:rsidP="00E2663A">
      <w:pPr>
        <w:widowControl w:val="0"/>
        <w:tabs>
          <w:tab w:val="center" w:pos="590"/>
          <w:tab w:val="center" w:pos="1440"/>
          <w:tab w:val="left" w:pos="1872"/>
          <w:tab w:val="left" w:pos="9187"/>
        </w:tabs>
        <w:rPr>
          <w:rFonts w:eastAsia="Times New Roman" w:cs="Times New Roman"/>
          <w:szCs w:val="20"/>
        </w:rPr>
      </w:pPr>
      <w:r w:rsidRPr="00E2663A">
        <w:rPr>
          <w:rFonts w:eastAsia="Times New Roman" w:cs="Times New Roman"/>
          <w:b/>
          <w:szCs w:val="20"/>
        </w:rPr>
        <w:t>HISTORY OF LEGISLATIVE ACTIONS</w:t>
      </w:r>
    </w:p>
    <w:p w:rsidR="00E2663A" w:rsidRPr="00E2663A" w:rsidRDefault="00E2663A" w:rsidP="00E2663A">
      <w:pPr>
        <w:widowControl w:val="0"/>
        <w:tabs>
          <w:tab w:val="center" w:pos="590"/>
          <w:tab w:val="center" w:pos="1440"/>
          <w:tab w:val="left" w:pos="1872"/>
          <w:tab w:val="left" w:pos="9187"/>
        </w:tabs>
        <w:rPr>
          <w:rFonts w:eastAsia="Times New Roman" w:cs="Times New Roman"/>
          <w:szCs w:val="20"/>
        </w:rPr>
      </w:pPr>
    </w:p>
    <w:p w:rsidR="00E2663A" w:rsidRPr="00E2663A" w:rsidRDefault="00E2663A" w:rsidP="00E2663A">
      <w:pPr>
        <w:widowControl w:val="0"/>
        <w:tabs>
          <w:tab w:val="center" w:pos="590"/>
          <w:tab w:val="center" w:pos="1440"/>
          <w:tab w:val="left" w:pos="1872"/>
          <w:tab w:val="left" w:pos="9187"/>
        </w:tabs>
        <w:rPr>
          <w:rFonts w:eastAsia="Times New Roman" w:cs="Times New Roman"/>
          <w:szCs w:val="20"/>
        </w:rPr>
      </w:pPr>
      <w:r w:rsidRPr="00E2663A">
        <w:rPr>
          <w:rFonts w:eastAsia="Times New Roman" w:cs="Times New Roman"/>
          <w:szCs w:val="20"/>
          <w:u w:val="single"/>
        </w:rPr>
        <w:tab/>
        <w:t>Date</w:t>
      </w:r>
      <w:r w:rsidRPr="00E2663A">
        <w:rPr>
          <w:rFonts w:eastAsia="Times New Roman" w:cs="Times New Roman"/>
          <w:szCs w:val="20"/>
          <w:u w:val="single"/>
        </w:rPr>
        <w:tab/>
        <w:t>Body</w:t>
      </w:r>
      <w:r w:rsidRPr="00E2663A">
        <w:rPr>
          <w:rFonts w:eastAsia="Times New Roman" w:cs="Times New Roman"/>
          <w:szCs w:val="20"/>
          <w:u w:val="single"/>
        </w:rPr>
        <w:tab/>
        <w:t>Action Description with journal page number</w:t>
      </w:r>
      <w:r w:rsidRPr="00E2663A">
        <w:rPr>
          <w:rFonts w:eastAsia="Times New Roman" w:cs="Times New Roman"/>
          <w:szCs w:val="20"/>
          <w:u w:val="single"/>
        </w:rPr>
        <w:tab/>
      </w:r>
      <w:bookmarkStart w:id="0" w:name="_GoBack"/>
      <w:bookmarkEnd w:id="0"/>
    </w:p>
    <w:p w:rsidR="001D0CB8" w:rsidRDefault="001D0CB8" w:rsidP="001D0CB8">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House</w:t>
      </w:r>
      <w:r>
        <w:rPr>
          <w:rFonts w:cs="Times New Roman"/>
        </w:rPr>
        <w:tab/>
      </w:r>
      <w:r w:rsidRPr="009A7B3E">
        <w:rPr>
          <w:rFonts w:cs="Times New Roman"/>
        </w:rPr>
        <w:t>Introduced and read first time (</w:t>
      </w:r>
      <w:hyperlink r:id="rId7" w:history="1">
        <w:r w:rsidRPr="009A7B3E">
          <w:rPr>
            <w:rStyle w:val="Hyperlink"/>
            <w:rFonts w:cs="Times New Roman"/>
          </w:rPr>
          <w:t>House Journal</w:t>
        </w:r>
        <w:r w:rsidRPr="009A7B3E">
          <w:rPr>
            <w:rStyle w:val="Hyperlink"/>
            <w:rFonts w:cs="Times New Roman"/>
          </w:rPr>
          <w:noBreakHyphen/>
          <w:t>page 31</w:t>
        </w:r>
      </w:hyperlink>
      <w:r w:rsidRPr="009A7B3E">
        <w:rPr>
          <w:rFonts w:cs="Times New Roman"/>
        </w:rPr>
        <w:t>)</w:t>
      </w:r>
    </w:p>
    <w:p w:rsidR="001D0CB8" w:rsidRDefault="001D0CB8" w:rsidP="001D0CB8">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House</w:t>
      </w:r>
      <w:r>
        <w:rPr>
          <w:rFonts w:cs="Times New Roman"/>
        </w:rPr>
        <w:tab/>
      </w:r>
      <w:r w:rsidRPr="009A7B3E">
        <w:rPr>
          <w:rFonts w:cs="Times New Roman"/>
        </w:rPr>
        <w:t>Ref</w:t>
      </w:r>
      <w:r>
        <w:rPr>
          <w:rFonts w:cs="Times New Roman"/>
        </w:rPr>
        <w:t xml:space="preserve">erred to Committee on </w:t>
      </w:r>
      <w:r w:rsidRPr="009A7B3E">
        <w:rPr>
          <w:rFonts w:cs="Times New Roman"/>
          <w:b/>
        </w:rPr>
        <w:t>Judiciary</w:t>
      </w:r>
      <w:r>
        <w:rPr>
          <w:rFonts w:cs="Times New Roman"/>
        </w:rPr>
        <w:t xml:space="preserve"> </w:t>
      </w:r>
      <w:r w:rsidRPr="009A7B3E">
        <w:rPr>
          <w:rFonts w:cs="Times New Roman"/>
        </w:rPr>
        <w:t>(</w:t>
      </w:r>
      <w:hyperlink r:id="rId8" w:history="1">
        <w:r w:rsidRPr="009A7B3E">
          <w:rPr>
            <w:rStyle w:val="Hyperlink"/>
            <w:rFonts w:cs="Times New Roman"/>
          </w:rPr>
          <w:t>House Journal</w:t>
        </w:r>
        <w:r w:rsidRPr="009A7B3E">
          <w:rPr>
            <w:rStyle w:val="Hyperlink"/>
            <w:rFonts w:cs="Times New Roman"/>
          </w:rPr>
          <w:noBreakHyphen/>
          <w:t>page 31</w:t>
        </w:r>
      </w:hyperlink>
      <w:r w:rsidRPr="009A7B3E">
        <w:rPr>
          <w:rFonts w:cs="Times New Roman"/>
        </w:rPr>
        <w:t>)</w:t>
      </w:r>
    </w:p>
    <w:p w:rsidR="001D0CB8" w:rsidRDefault="001D0CB8" w:rsidP="001D0CB8">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9A7B3E">
        <w:rPr>
          <w:rFonts w:cs="Times New Roman"/>
        </w:rPr>
        <w:t>Commit</w:t>
      </w:r>
      <w:r>
        <w:rPr>
          <w:rFonts w:cs="Times New Roman"/>
        </w:rPr>
        <w:t xml:space="preserve">tee report: Favorable </w:t>
      </w:r>
      <w:r w:rsidRPr="009A7B3E">
        <w:rPr>
          <w:rFonts w:cs="Times New Roman"/>
          <w:b/>
        </w:rPr>
        <w:t>Judiciary</w:t>
      </w:r>
      <w:r>
        <w:rPr>
          <w:rFonts w:cs="Times New Roman"/>
        </w:rPr>
        <w:t xml:space="preserve"> </w:t>
      </w:r>
      <w:r w:rsidRPr="009A7B3E">
        <w:rPr>
          <w:rFonts w:cs="Times New Roman"/>
        </w:rPr>
        <w:t>(</w:t>
      </w:r>
      <w:hyperlink r:id="rId9" w:history="1">
        <w:r w:rsidRPr="009A7B3E">
          <w:rPr>
            <w:rStyle w:val="Hyperlink"/>
            <w:rFonts w:cs="Times New Roman"/>
          </w:rPr>
          <w:t>House Journal</w:t>
        </w:r>
        <w:r w:rsidRPr="009A7B3E">
          <w:rPr>
            <w:rStyle w:val="Hyperlink"/>
            <w:rFonts w:cs="Times New Roman"/>
          </w:rPr>
          <w:noBreakHyphen/>
          <w:t>page 4</w:t>
        </w:r>
      </w:hyperlink>
      <w:r w:rsidRPr="009A7B3E">
        <w:rPr>
          <w:rFonts w:cs="Times New Roman"/>
        </w:rPr>
        <w:t>)</w:t>
      </w:r>
    </w:p>
    <w:p w:rsidR="001D0CB8" w:rsidRDefault="001D0CB8" w:rsidP="001D0CB8">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House</w:t>
      </w:r>
      <w:r>
        <w:rPr>
          <w:rFonts w:cs="Times New Roman"/>
        </w:rPr>
        <w:tab/>
      </w:r>
      <w:r w:rsidRPr="009A7B3E">
        <w:rPr>
          <w:rFonts w:cs="Times New Roman"/>
        </w:rPr>
        <w:t>Read second time (</w:t>
      </w:r>
      <w:hyperlink r:id="rId10" w:history="1">
        <w:r w:rsidRPr="009A7B3E">
          <w:rPr>
            <w:rStyle w:val="Hyperlink"/>
            <w:rFonts w:cs="Times New Roman"/>
          </w:rPr>
          <w:t>House Journal</w:t>
        </w:r>
        <w:r w:rsidRPr="009A7B3E">
          <w:rPr>
            <w:rStyle w:val="Hyperlink"/>
            <w:rFonts w:cs="Times New Roman"/>
          </w:rPr>
          <w:noBreakHyphen/>
          <w:t>page 44</w:t>
        </w:r>
      </w:hyperlink>
      <w:r w:rsidRPr="009A7B3E">
        <w:rPr>
          <w:rFonts w:cs="Times New Roman"/>
        </w:rPr>
        <w:t>)</w:t>
      </w:r>
    </w:p>
    <w:p w:rsidR="001D0CB8" w:rsidRDefault="001D0CB8" w:rsidP="001D0CB8">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House</w:t>
      </w:r>
      <w:r>
        <w:rPr>
          <w:rFonts w:cs="Times New Roman"/>
        </w:rPr>
        <w:tab/>
      </w:r>
      <w:r w:rsidRPr="009A7B3E">
        <w:rPr>
          <w:rFonts w:cs="Times New Roman"/>
        </w:rPr>
        <w:t>Roll call Yeas</w:t>
      </w:r>
      <w:r>
        <w:rPr>
          <w:rFonts w:cs="Times New Roman"/>
        </w:rPr>
        <w:noBreakHyphen/>
      </w:r>
      <w:r w:rsidRPr="009A7B3E">
        <w:rPr>
          <w:rFonts w:cs="Times New Roman"/>
        </w:rPr>
        <w:t>106  Nays</w:t>
      </w:r>
      <w:r>
        <w:rPr>
          <w:rFonts w:cs="Times New Roman"/>
        </w:rPr>
        <w:noBreakHyphen/>
      </w:r>
      <w:r w:rsidRPr="009A7B3E">
        <w:rPr>
          <w:rFonts w:cs="Times New Roman"/>
        </w:rPr>
        <w:t>0 (</w:t>
      </w:r>
      <w:hyperlink r:id="rId11" w:history="1">
        <w:r w:rsidRPr="009A7B3E">
          <w:rPr>
            <w:rStyle w:val="Hyperlink"/>
            <w:rFonts w:cs="Times New Roman"/>
          </w:rPr>
          <w:t>House Journal</w:t>
        </w:r>
        <w:r w:rsidRPr="009A7B3E">
          <w:rPr>
            <w:rStyle w:val="Hyperlink"/>
            <w:rFonts w:cs="Times New Roman"/>
          </w:rPr>
          <w:noBreakHyphen/>
          <w:t>page 44</w:t>
        </w:r>
      </w:hyperlink>
      <w:r w:rsidRPr="009A7B3E">
        <w:rPr>
          <w:rFonts w:cs="Times New Roman"/>
        </w:rPr>
        <w:t>)</w:t>
      </w:r>
    </w:p>
    <w:p w:rsidR="001D0CB8" w:rsidRDefault="001D0CB8" w:rsidP="001D0CB8">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House</w:t>
      </w:r>
      <w:r>
        <w:rPr>
          <w:rFonts w:cs="Times New Roman"/>
        </w:rPr>
        <w:tab/>
      </w:r>
      <w:r w:rsidRPr="009A7B3E">
        <w:rPr>
          <w:rFonts w:cs="Times New Roman"/>
        </w:rPr>
        <w:t>Rea</w:t>
      </w:r>
      <w:r>
        <w:rPr>
          <w:rFonts w:cs="Times New Roman"/>
        </w:rPr>
        <w:t xml:space="preserve">d third time and sent to Senate </w:t>
      </w:r>
      <w:r w:rsidRPr="009A7B3E">
        <w:rPr>
          <w:rFonts w:cs="Times New Roman"/>
        </w:rPr>
        <w:t>(</w:t>
      </w:r>
      <w:hyperlink r:id="rId12" w:history="1">
        <w:r w:rsidRPr="009A7B3E">
          <w:rPr>
            <w:rStyle w:val="Hyperlink"/>
            <w:rFonts w:cs="Times New Roman"/>
          </w:rPr>
          <w:t>House Journal</w:t>
        </w:r>
        <w:r w:rsidRPr="009A7B3E">
          <w:rPr>
            <w:rStyle w:val="Hyperlink"/>
            <w:rFonts w:cs="Times New Roman"/>
          </w:rPr>
          <w:noBreakHyphen/>
          <w:t>page 16</w:t>
        </w:r>
      </w:hyperlink>
      <w:r w:rsidRPr="009A7B3E">
        <w:rPr>
          <w:rFonts w:cs="Times New Roman"/>
        </w:rPr>
        <w:t>)</w:t>
      </w:r>
    </w:p>
    <w:p w:rsidR="001D0CB8" w:rsidRDefault="001D0CB8" w:rsidP="001D0CB8">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9A7B3E">
        <w:rPr>
          <w:rFonts w:cs="Times New Roman"/>
        </w:rPr>
        <w:t>Introduced and read first time (</w:t>
      </w:r>
      <w:hyperlink r:id="rId13" w:history="1">
        <w:r w:rsidRPr="009A7B3E">
          <w:rPr>
            <w:rStyle w:val="Hyperlink"/>
            <w:rFonts w:cs="Times New Roman"/>
          </w:rPr>
          <w:t>Senate Journal</w:t>
        </w:r>
        <w:r w:rsidRPr="009A7B3E">
          <w:rPr>
            <w:rStyle w:val="Hyperlink"/>
            <w:rFonts w:cs="Times New Roman"/>
          </w:rPr>
          <w:noBreakHyphen/>
          <w:t>page 10</w:t>
        </w:r>
      </w:hyperlink>
      <w:r w:rsidRPr="009A7B3E">
        <w:rPr>
          <w:rFonts w:cs="Times New Roman"/>
        </w:rPr>
        <w:t>)</w:t>
      </w:r>
    </w:p>
    <w:p w:rsidR="001D0CB8" w:rsidRDefault="001D0CB8" w:rsidP="001D0CB8">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9A7B3E">
        <w:rPr>
          <w:rFonts w:cs="Times New Roman"/>
        </w:rPr>
        <w:t>Ref</w:t>
      </w:r>
      <w:r>
        <w:rPr>
          <w:rFonts w:cs="Times New Roman"/>
        </w:rPr>
        <w:t xml:space="preserve">erred to Committee on </w:t>
      </w:r>
      <w:r w:rsidRPr="009A7B3E">
        <w:rPr>
          <w:rFonts w:cs="Times New Roman"/>
          <w:b/>
        </w:rPr>
        <w:t>Judiciary</w:t>
      </w:r>
      <w:r>
        <w:rPr>
          <w:rFonts w:cs="Times New Roman"/>
        </w:rPr>
        <w:t xml:space="preserve"> </w:t>
      </w:r>
      <w:r w:rsidRPr="009A7B3E">
        <w:rPr>
          <w:rFonts w:cs="Times New Roman"/>
        </w:rPr>
        <w:t>(</w:t>
      </w:r>
      <w:hyperlink r:id="rId14" w:history="1">
        <w:r w:rsidRPr="009A7B3E">
          <w:rPr>
            <w:rStyle w:val="Hyperlink"/>
            <w:rFonts w:cs="Times New Roman"/>
          </w:rPr>
          <w:t>Senate Journal</w:t>
        </w:r>
        <w:r w:rsidRPr="009A7B3E">
          <w:rPr>
            <w:rStyle w:val="Hyperlink"/>
            <w:rFonts w:cs="Times New Roman"/>
          </w:rPr>
          <w:noBreakHyphen/>
          <w:t>page 10</w:t>
        </w:r>
      </w:hyperlink>
      <w:r w:rsidRPr="009A7B3E">
        <w:rPr>
          <w:rFonts w:cs="Times New Roman"/>
        </w:rPr>
        <w:t>)</w:t>
      </w:r>
    </w:p>
    <w:p w:rsidR="001D0CB8" w:rsidRDefault="001D0CB8" w:rsidP="001D0CB8">
      <w:pPr>
        <w:widowControl w:val="0"/>
        <w:tabs>
          <w:tab w:val="right" w:pos="1008"/>
          <w:tab w:val="left" w:pos="1152"/>
          <w:tab w:val="left" w:pos="1872"/>
          <w:tab w:val="left" w:pos="9187"/>
        </w:tabs>
        <w:ind w:left="2088" w:hanging="2088"/>
        <w:rPr>
          <w:rFonts w:cs="Times New Roman"/>
        </w:rPr>
      </w:pPr>
      <w:r>
        <w:rPr>
          <w:rFonts w:cs="Times New Roman"/>
        </w:rPr>
        <w:tab/>
        <w:t>4/25/2014</w:t>
      </w:r>
      <w:r>
        <w:rPr>
          <w:rFonts w:cs="Times New Roman"/>
        </w:rPr>
        <w:tab/>
        <w:t>Senate</w:t>
      </w:r>
      <w:r>
        <w:rPr>
          <w:rFonts w:cs="Times New Roman"/>
        </w:rPr>
        <w:tab/>
      </w:r>
      <w:r w:rsidRPr="009A7B3E">
        <w:rPr>
          <w:rFonts w:cs="Times New Roman"/>
        </w:rPr>
        <w:t>Referred to Subcommittee: Campsen (ch), Scott, Young</w:t>
      </w:r>
    </w:p>
    <w:p w:rsidR="001D0CB8" w:rsidRDefault="001D0CB8" w:rsidP="001D0CB8">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9A7B3E">
        <w:rPr>
          <w:rFonts w:cs="Times New Roman"/>
        </w:rPr>
        <w:t>Commit</w:t>
      </w:r>
      <w:r>
        <w:rPr>
          <w:rFonts w:cs="Times New Roman"/>
        </w:rPr>
        <w:t xml:space="preserve">tee report: Favorable </w:t>
      </w:r>
      <w:r w:rsidRPr="009A7B3E">
        <w:rPr>
          <w:rFonts w:cs="Times New Roman"/>
          <w:b/>
        </w:rPr>
        <w:t>Judiciary</w:t>
      </w:r>
      <w:r>
        <w:rPr>
          <w:rFonts w:cs="Times New Roman"/>
        </w:rPr>
        <w:t xml:space="preserve"> </w:t>
      </w:r>
      <w:r w:rsidRPr="009A7B3E">
        <w:rPr>
          <w:rFonts w:cs="Times New Roman"/>
        </w:rPr>
        <w:t>(</w:t>
      </w:r>
      <w:hyperlink r:id="rId15" w:history="1">
        <w:r w:rsidRPr="009A7B3E">
          <w:rPr>
            <w:rStyle w:val="Hyperlink"/>
            <w:rFonts w:cs="Times New Roman"/>
          </w:rPr>
          <w:t>Senate Journal</w:t>
        </w:r>
        <w:r w:rsidRPr="009A7B3E">
          <w:rPr>
            <w:rStyle w:val="Hyperlink"/>
            <w:rFonts w:cs="Times New Roman"/>
          </w:rPr>
          <w:noBreakHyphen/>
          <w:t>page 20</w:t>
        </w:r>
      </w:hyperlink>
      <w:r w:rsidRPr="009A7B3E">
        <w:rPr>
          <w:rFonts w:cs="Times New Roman"/>
        </w:rPr>
        <w:t>)</w:t>
      </w:r>
    </w:p>
    <w:p w:rsidR="001D0CB8" w:rsidRDefault="001D0CB8" w:rsidP="001D0CB8">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9A7B3E">
        <w:rPr>
          <w:rFonts w:cs="Times New Roman"/>
        </w:rPr>
        <w:t>Read second time (</w:t>
      </w:r>
      <w:hyperlink r:id="rId16" w:history="1">
        <w:r w:rsidRPr="009A7B3E">
          <w:rPr>
            <w:rStyle w:val="Hyperlink"/>
            <w:rFonts w:cs="Times New Roman"/>
          </w:rPr>
          <w:t>Senate Journal</w:t>
        </w:r>
        <w:r w:rsidRPr="009A7B3E">
          <w:rPr>
            <w:rStyle w:val="Hyperlink"/>
            <w:rFonts w:cs="Times New Roman"/>
          </w:rPr>
          <w:noBreakHyphen/>
          <w:t>page 44</w:t>
        </w:r>
      </w:hyperlink>
      <w:r w:rsidRPr="009A7B3E">
        <w:rPr>
          <w:rFonts w:cs="Times New Roman"/>
        </w:rPr>
        <w:t>)</w:t>
      </w:r>
    </w:p>
    <w:p w:rsidR="001D0CB8" w:rsidRDefault="001D0CB8" w:rsidP="001D0CB8">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9A7B3E">
        <w:rPr>
          <w:rFonts w:cs="Times New Roman"/>
        </w:rPr>
        <w:t>Roll call Ayes</w:t>
      </w:r>
      <w:r>
        <w:rPr>
          <w:rFonts w:cs="Times New Roman"/>
        </w:rPr>
        <w:noBreakHyphen/>
      </w:r>
      <w:r w:rsidRPr="009A7B3E">
        <w:rPr>
          <w:rFonts w:cs="Times New Roman"/>
        </w:rPr>
        <w:t>40  Nays</w:t>
      </w:r>
      <w:r>
        <w:rPr>
          <w:rFonts w:cs="Times New Roman"/>
        </w:rPr>
        <w:noBreakHyphen/>
      </w:r>
      <w:r w:rsidRPr="009A7B3E">
        <w:rPr>
          <w:rFonts w:cs="Times New Roman"/>
        </w:rPr>
        <w:t>0 (</w:t>
      </w:r>
      <w:hyperlink r:id="rId17" w:history="1">
        <w:r w:rsidRPr="009A7B3E">
          <w:rPr>
            <w:rStyle w:val="Hyperlink"/>
            <w:rFonts w:cs="Times New Roman"/>
          </w:rPr>
          <w:t>Senate Journal</w:t>
        </w:r>
        <w:r w:rsidRPr="009A7B3E">
          <w:rPr>
            <w:rStyle w:val="Hyperlink"/>
            <w:rFonts w:cs="Times New Roman"/>
          </w:rPr>
          <w:noBreakHyphen/>
          <w:t>page 44</w:t>
        </w:r>
      </w:hyperlink>
      <w:r w:rsidRPr="009A7B3E">
        <w:rPr>
          <w:rFonts w:cs="Times New Roman"/>
        </w:rPr>
        <w:t>)</w:t>
      </w:r>
    </w:p>
    <w:p w:rsidR="001D0CB8" w:rsidRDefault="001D0CB8" w:rsidP="001D0CB8">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9A7B3E">
        <w:rPr>
          <w:rFonts w:cs="Times New Roman"/>
        </w:rPr>
        <w:t>Read third time and enrolled (</w:t>
      </w:r>
      <w:hyperlink r:id="rId18" w:history="1">
        <w:r w:rsidRPr="009A7B3E">
          <w:rPr>
            <w:rStyle w:val="Hyperlink"/>
            <w:rFonts w:cs="Times New Roman"/>
          </w:rPr>
          <w:t>Senate Journal</w:t>
        </w:r>
        <w:r w:rsidRPr="009A7B3E">
          <w:rPr>
            <w:rStyle w:val="Hyperlink"/>
            <w:rFonts w:cs="Times New Roman"/>
          </w:rPr>
          <w:noBreakHyphen/>
          <w:t>page 46</w:t>
        </w:r>
      </w:hyperlink>
      <w:r w:rsidRPr="009A7B3E">
        <w:rPr>
          <w:rFonts w:cs="Times New Roman"/>
        </w:rPr>
        <w:t>)</w:t>
      </w:r>
    </w:p>
    <w:p w:rsidR="001D0CB8" w:rsidRDefault="001D0CB8" w:rsidP="001D0CB8">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9A7B3E">
        <w:rPr>
          <w:rFonts w:cs="Times New Roman"/>
        </w:rPr>
        <w:t>Ratified R 306</w:t>
      </w:r>
    </w:p>
    <w:p w:rsidR="001D0CB8" w:rsidRDefault="001D0CB8" w:rsidP="001D0CB8">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9A7B3E">
        <w:rPr>
          <w:rFonts w:cs="Times New Roman"/>
        </w:rPr>
        <w:t>Signed By Governor</w:t>
      </w:r>
    </w:p>
    <w:p w:rsidR="001D0CB8" w:rsidRDefault="001D0CB8" w:rsidP="001D0CB8">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9A7B3E">
        <w:rPr>
          <w:rFonts w:cs="Times New Roman"/>
        </w:rPr>
        <w:t>Effective date 06/06/14</w:t>
      </w:r>
    </w:p>
    <w:p w:rsidR="001D0CB8" w:rsidRDefault="001D0CB8" w:rsidP="001D0CB8">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9A7B3E">
        <w:rPr>
          <w:rFonts w:cs="Times New Roman"/>
        </w:rPr>
        <w:t>Act No</w:t>
      </w:r>
      <w:r>
        <w:rPr>
          <w:rFonts w:cs="Times New Roman"/>
        </w:rPr>
        <w:t>. </w:t>
      </w:r>
      <w:r w:rsidRPr="009A7B3E">
        <w:rPr>
          <w:rFonts w:cs="Times New Roman"/>
        </w:rPr>
        <w:t>256</w:t>
      </w:r>
    </w:p>
    <w:p w:rsidR="001D0CB8" w:rsidRDefault="001D0CB8" w:rsidP="001D0CB8">
      <w:pPr>
        <w:widowControl w:val="0"/>
        <w:tabs>
          <w:tab w:val="right" w:pos="1008"/>
          <w:tab w:val="left" w:pos="1152"/>
          <w:tab w:val="left" w:pos="1872"/>
          <w:tab w:val="left" w:pos="9187"/>
        </w:tabs>
        <w:ind w:left="2088" w:hanging="2088"/>
        <w:rPr>
          <w:rFonts w:cs="Times New Roman"/>
        </w:rPr>
      </w:pPr>
    </w:p>
    <w:p w:rsidR="00E2663A" w:rsidRPr="00E2663A" w:rsidRDefault="00E2663A" w:rsidP="00E2663A">
      <w:pPr>
        <w:widowControl w:val="0"/>
        <w:tabs>
          <w:tab w:val="right" w:pos="1008"/>
          <w:tab w:val="left" w:pos="1152"/>
          <w:tab w:val="left" w:pos="1872"/>
          <w:tab w:val="left" w:pos="9187"/>
        </w:tabs>
        <w:ind w:left="2088" w:hanging="2088"/>
        <w:rPr>
          <w:rFonts w:eastAsia="Times New Roman" w:cs="Times New Roman"/>
          <w:szCs w:val="20"/>
        </w:rPr>
      </w:pPr>
    </w:p>
    <w:p w:rsidR="00E2663A" w:rsidRPr="00E2663A" w:rsidRDefault="00E2663A"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663A">
        <w:rPr>
          <w:rFonts w:eastAsia="Times New Roman" w:cs="Times New Roman"/>
          <w:b/>
          <w:szCs w:val="20"/>
        </w:rPr>
        <w:t>VERSIONS OF THIS BILL</w:t>
      </w:r>
    </w:p>
    <w:p w:rsidR="00E2663A" w:rsidRPr="00E2663A" w:rsidRDefault="00E2663A"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663A" w:rsidRPr="00E2663A" w:rsidRDefault="005A0FDB" w:rsidP="00E26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E2663A" w:rsidRPr="00E2663A">
          <w:rPr>
            <w:rFonts w:eastAsia="Times New Roman" w:cs="Times New Roman"/>
            <w:color w:val="0000FF" w:themeColor="hyperlink"/>
            <w:szCs w:val="20"/>
            <w:u w:val="single"/>
          </w:rPr>
          <w:t>2/20/2014</w:t>
        </w:r>
      </w:hyperlink>
    </w:p>
    <w:p w:rsidR="00E2663A" w:rsidRPr="00E2663A" w:rsidRDefault="005A0FDB" w:rsidP="00E2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E2663A" w:rsidRPr="00E2663A">
          <w:rPr>
            <w:rFonts w:eastAsia="Times New Roman" w:cs="Times New Roman"/>
            <w:color w:val="0000FF" w:themeColor="hyperlink"/>
            <w:szCs w:val="20"/>
            <w:u w:val="single"/>
          </w:rPr>
          <w:t>3/20/2014</w:t>
        </w:r>
      </w:hyperlink>
    </w:p>
    <w:p w:rsidR="00E2663A" w:rsidRPr="00E2663A" w:rsidRDefault="005A0FDB" w:rsidP="00E2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E2663A" w:rsidRPr="00E2663A">
          <w:rPr>
            <w:rFonts w:eastAsia="Times New Roman" w:cs="Times New Roman"/>
            <w:color w:val="0000FF" w:themeColor="hyperlink"/>
            <w:szCs w:val="20"/>
            <w:u w:val="single"/>
          </w:rPr>
          <w:t>5/21/2014</w:t>
        </w:r>
      </w:hyperlink>
    </w:p>
    <w:p w:rsidR="00E2663A" w:rsidRPr="00E2663A" w:rsidRDefault="00E2663A" w:rsidP="00E2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2663A" w:rsidRDefault="00E2663A" w:rsidP="00E26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2663A" w:rsidSect="00E2663A">
          <w:pgSz w:w="12240" w:h="15840" w:code="1"/>
          <w:pgMar w:top="1080" w:right="1440" w:bottom="1080" w:left="1440" w:header="720" w:footer="720" w:gutter="0"/>
          <w:pgNumType w:start="1"/>
          <w:cols w:space="720"/>
          <w:noEndnote/>
          <w:docGrid w:linePitch="360"/>
        </w:sectPr>
      </w:pPr>
    </w:p>
    <w:p w:rsidR="00E87CC0"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(A256, R306, H4732)</w:t>
      </w:r>
    </w:p>
    <w:p w:rsidR="00E87CC0" w:rsidRPr="008836A5"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87CC0" w:rsidRPr="00E2663A"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2663A">
        <w:rPr>
          <w:rFonts w:cs="Times New Roman"/>
          <w:b/>
          <w:color w:val="000000" w:themeColor="text1"/>
          <w:szCs w:val="36"/>
        </w:rPr>
        <w:t xml:space="preserve">AN ACT </w:t>
      </w:r>
      <w:r w:rsidRPr="00E2663A">
        <w:rPr>
          <w:rFonts w:cs="Times New Roman"/>
          <w:b/>
        </w:rPr>
        <w:t>TO AMEND SECTIONS 7</w:t>
      </w:r>
      <w:r w:rsidRPr="00E2663A">
        <w:rPr>
          <w:rFonts w:cs="Times New Roman"/>
          <w:b/>
        </w:rPr>
        <w:noBreakHyphen/>
        <w:t>11</w:t>
      </w:r>
      <w:r w:rsidRPr="00E2663A">
        <w:rPr>
          <w:rFonts w:cs="Times New Roman"/>
          <w:b/>
        </w:rPr>
        <w:noBreakHyphen/>
        <w:t>20, 7</w:t>
      </w:r>
      <w:r w:rsidRPr="00E2663A">
        <w:rPr>
          <w:rFonts w:cs="Times New Roman"/>
          <w:b/>
        </w:rPr>
        <w:noBreakHyphen/>
        <w:t>11</w:t>
      </w:r>
      <w:r w:rsidRPr="00E2663A">
        <w:rPr>
          <w:rFonts w:cs="Times New Roman"/>
          <w:b/>
        </w:rPr>
        <w:noBreakHyphen/>
        <w:t>25, AND 7</w:t>
      </w:r>
      <w:r w:rsidRPr="00E2663A">
        <w:rPr>
          <w:rFonts w:cs="Times New Roman"/>
          <w:b/>
        </w:rPr>
        <w:noBreakHyphen/>
        <w:t>13</w:t>
      </w:r>
      <w:r w:rsidRPr="00E2663A">
        <w:rPr>
          <w:rFonts w:cs="Times New Roman"/>
          <w:b/>
        </w:rPr>
        <w:noBreakHyphen/>
        <w:t>15, ALL AS AMENDED, CODE OF LAWS OF SOUTH CAROLINA, 1976, RELATING, RESPECTIVELY, TO THE CONDUCT BY THE STATE ELECTION COMMISSION OF PARTY CONVENTIONS OR PARTY PRIMARY ELECTIONS, THE AUTHORITY OF POLITICAL PARTIES TO CONDUCT ADVISORY PRIMARY ELECTIONS AT PARTY EXPENSE, AND THE DATE PROVIDED BY LAW FOR HOLDING PRIMARY ELECTIONS AND THE PRIMARIES NOT SUBJECT TO THAT DATE, SO AS TO DELETE OBSOLETE DATE REFERENCES, TO CLARIFY THE AUTHORITY OF A POLITICAL PARTY TO CONDUCT AN ADVISORY PRIMARY AT PARTY EXPENSE, TO CLARIFY THAT THE DATE OF A PRESIDENTIAL PREFERENCE PRIMARY CONDUCTED BY THE STATE ELECTION COMMISSION MUST BE SET BY THE PARTY RATHER THAN THE GENERAL STATE LAW DATE FOR PRIMARIES AND TO ALLOW THE STATE ELECTION COMMISSION TO CARRY FORWARD ANY YEAR-END BALANCES IN ITS FILING FEE AND PRIMARY AND GENERAL ELECTION ACCOUNTS TO THE SUCCEEDING FISCAL YEAR, AND TO PROVIDE THAT THESE CARRIED FORWARD FUNDS MUST BE EXPENDED FOR THE SAME PURPOSE.</w:t>
      </w: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36EE">
        <w:rPr>
          <w:rFonts w:cs="Times New Roman"/>
        </w:rPr>
        <w:t>Be it enacted by the General Assembly of the State of South Carolina:</w:t>
      </w: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7CC0" w:rsidRPr="00596D67"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Presidential preference primaries</w:t>
      </w:r>
    </w:p>
    <w:p w:rsidR="00E87CC0"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36EE">
        <w:rPr>
          <w:rFonts w:cs="Times New Roman"/>
        </w:rPr>
        <w:t>SECTION</w:t>
      </w:r>
      <w:r w:rsidRPr="000036EE">
        <w:rPr>
          <w:rFonts w:cs="Times New Roman"/>
        </w:rPr>
        <w:tab/>
        <w:t>1.</w:t>
      </w:r>
      <w:r w:rsidRPr="000036EE">
        <w:rPr>
          <w:rFonts w:cs="Times New Roman"/>
        </w:rPr>
        <w:tab/>
        <w:t>Items (2) and (4) of Section 7</w:t>
      </w:r>
      <w:r>
        <w:rPr>
          <w:rFonts w:cs="Times New Roman"/>
        </w:rPr>
        <w:noBreakHyphen/>
      </w:r>
      <w:r w:rsidRPr="000036EE">
        <w:rPr>
          <w:rFonts w:cs="Times New Roman"/>
        </w:rPr>
        <w:t>11</w:t>
      </w:r>
      <w:r>
        <w:rPr>
          <w:rFonts w:cs="Times New Roman"/>
        </w:rPr>
        <w:noBreakHyphen/>
      </w:r>
      <w:r w:rsidRPr="000036EE">
        <w:rPr>
          <w:rFonts w:cs="Times New Roman"/>
        </w:rPr>
        <w:t>20(B) of the 1976 Code, as last amended by Act 81 of 2007, are further amended to read:</w:t>
      </w: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036EE">
        <w:rPr>
          <w:rFonts w:cs="Times New Roman"/>
        </w:rPr>
        <w:tab/>
        <w:t>“(2)</w:t>
      </w:r>
      <w:r w:rsidRPr="000036EE">
        <w:rPr>
          <w:rFonts w:cs="Times New Roman"/>
        </w:rPr>
        <w:tab/>
      </w:r>
      <w:r w:rsidRPr="000036EE">
        <w:rPr>
          <w:rFonts w:cs="Times New Roman"/>
          <w:color w:val="000000"/>
        </w:rPr>
        <w:t>If the state committee of a certified political party which received at least five percent of the popular vote in South Carolina for the party</w:t>
      </w:r>
      <w:r w:rsidRPr="00596D67">
        <w:rPr>
          <w:rFonts w:cs="Times New Roman"/>
          <w:color w:val="000000"/>
        </w:rPr>
        <w:t>’</w:t>
      </w:r>
      <w:r w:rsidRPr="000036EE">
        <w:rPr>
          <w:rFonts w:cs="Times New Roman"/>
          <w:color w:val="000000"/>
        </w:rPr>
        <w:t>s candidate for President of the United States decides to hold a presidential preference primary election, the State Election Commission must conduct the presidential preference primary in accordance with the provisions of this title and party rules provided that a registered elector may cast a ballot in only one presidential preference primary.</w:t>
      </w:r>
      <w:r>
        <w:rPr>
          <w:rFonts w:cs="Times New Roman"/>
          <w:color w:val="000000"/>
        </w:rPr>
        <w:t xml:space="preserve"> </w:t>
      </w:r>
      <w:r w:rsidRPr="000036EE">
        <w:rPr>
          <w:rFonts w:cs="Times New Roman"/>
          <w:color w:val="000000"/>
        </w:rPr>
        <w:t xml:space="preserve"> However, notwithstanding any other provision of this title, (a) the State Election Commission and the authorities responsible for conducting the elections in each county shall provide for cost</w:t>
      </w:r>
      <w:r>
        <w:rPr>
          <w:rFonts w:cs="Times New Roman"/>
          <w:color w:val="000000"/>
        </w:rPr>
        <w:noBreakHyphen/>
      </w:r>
      <w:r w:rsidRPr="000036EE">
        <w:rPr>
          <w:rFonts w:cs="Times New Roman"/>
          <w:color w:val="000000"/>
        </w:rPr>
        <w:t xml:space="preserve">effective </w:t>
      </w:r>
      <w:r w:rsidRPr="000036EE">
        <w:rPr>
          <w:rFonts w:cs="Times New Roman"/>
          <w:color w:val="000000"/>
        </w:rPr>
        <w:lastRenderedPageBreak/>
        <w:t>measures in conducting the presidential preference primaries including, but not limited to, combining polling places, while ensuring that voters have adequate notice and access to the polling places; and (b) the state committee of the party shall set the date and the filing requirements, including a certification fee. Political parties must verify the qualifications of candidates prior to certifying to the State Election Commission the names of candidates to be placed on primary ballots. The written certification required by this section must contain a statement that each certified candidate meets, or will meet by the time of the general election, or as otherwise required by law, the qualifications in the United States Constitution, statutory law, and party rules to participate in the presidential preference primary for which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w:t>
      </w:r>
      <w:r w:rsidRPr="00596D67">
        <w:rPr>
          <w:rFonts w:cs="Times New Roman"/>
          <w:color w:val="000000"/>
        </w:rPr>
        <w:t>’</w:t>
      </w:r>
      <w:r w:rsidRPr="000036EE">
        <w:rPr>
          <w:rFonts w:cs="Times New Roman"/>
          <w:color w:val="000000"/>
        </w:rPr>
        <w:t>s name must not be placed on a primary ballot. Political parties may charge a certification fee to persons seeking to be candidates in the presidential preference primary for the political party. A filing fee not to exceed twenty thousand dollars, as determined by the State Election Commission, for each candidate certified by a political party must be transmitted by the respective political party to the State Election Commission and must be used for conducting the presidential preference primaries.</w:t>
      </w: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036EE">
        <w:rPr>
          <w:rFonts w:cs="Times New Roman"/>
          <w:color w:val="000000"/>
        </w:rPr>
        <w:tab/>
        <w:t>(4)</w:t>
      </w:r>
      <w:r w:rsidRPr="000036EE">
        <w:rPr>
          <w:rFonts w:cs="Times New Roman"/>
          <w:color w:val="000000"/>
        </w:rPr>
        <w:tab/>
        <w:t>Nothing in this section prevents a political party from conducting a presidential preference primary pursuant to the provisions of Section 7</w:t>
      </w:r>
      <w:r>
        <w:rPr>
          <w:rFonts w:cs="Times New Roman"/>
          <w:color w:val="000000"/>
        </w:rPr>
        <w:noBreakHyphen/>
      </w:r>
      <w:r w:rsidRPr="000036EE">
        <w:rPr>
          <w:rFonts w:cs="Times New Roman"/>
          <w:color w:val="000000"/>
        </w:rPr>
        <w:t>11</w:t>
      </w:r>
      <w:r>
        <w:rPr>
          <w:rFonts w:cs="Times New Roman"/>
          <w:color w:val="000000"/>
        </w:rPr>
        <w:noBreakHyphen/>
      </w:r>
      <w:r w:rsidRPr="000036EE">
        <w:rPr>
          <w:rFonts w:cs="Times New Roman"/>
          <w:color w:val="000000"/>
        </w:rPr>
        <w:t>25.”</w:t>
      </w: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87CC0" w:rsidRPr="00596D67"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Advisory primaries</w:t>
      </w:r>
    </w:p>
    <w:p w:rsidR="00E87CC0"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036EE">
        <w:rPr>
          <w:rFonts w:cs="Times New Roman"/>
          <w:color w:val="000000"/>
        </w:rPr>
        <w:t>SECTION</w:t>
      </w:r>
      <w:r w:rsidRPr="000036EE">
        <w:rPr>
          <w:rFonts w:cs="Times New Roman"/>
          <w:color w:val="000000"/>
        </w:rPr>
        <w:tab/>
        <w:t>2.</w:t>
      </w:r>
      <w:r w:rsidRPr="000036EE">
        <w:rPr>
          <w:rFonts w:cs="Times New Roman"/>
          <w:color w:val="000000"/>
        </w:rPr>
        <w:tab/>
        <w:t>Section 7</w:t>
      </w:r>
      <w:r>
        <w:rPr>
          <w:rFonts w:cs="Times New Roman"/>
          <w:color w:val="000000"/>
        </w:rPr>
        <w:noBreakHyphen/>
      </w:r>
      <w:r w:rsidRPr="000036EE">
        <w:rPr>
          <w:rFonts w:cs="Times New Roman"/>
          <w:color w:val="000000"/>
        </w:rPr>
        <w:t>11</w:t>
      </w:r>
      <w:r>
        <w:rPr>
          <w:rFonts w:cs="Times New Roman"/>
          <w:color w:val="000000"/>
        </w:rPr>
        <w:noBreakHyphen/>
      </w:r>
      <w:r w:rsidRPr="000036EE">
        <w:rPr>
          <w:rFonts w:cs="Times New Roman"/>
          <w:color w:val="000000"/>
        </w:rPr>
        <w:t>25 of the 1976 Code, as last amended by Act 81 of 2007, is further amended to read:</w:t>
      </w: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036EE">
        <w:rPr>
          <w:rFonts w:cs="Times New Roman"/>
          <w:color w:val="000000"/>
        </w:rPr>
        <w:tab/>
        <w:t>“Section 7</w:t>
      </w:r>
      <w:r>
        <w:rPr>
          <w:rFonts w:cs="Times New Roman"/>
          <w:color w:val="000000"/>
        </w:rPr>
        <w:noBreakHyphen/>
      </w:r>
      <w:r w:rsidRPr="000036EE">
        <w:rPr>
          <w:rFonts w:cs="Times New Roman"/>
          <w:color w:val="000000"/>
        </w:rPr>
        <w:t>11</w:t>
      </w:r>
      <w:r>
        <w:rPr>
          <w:rFonts w:cs="Times New Roman"/>
          <w:color w:val="000000"/>
        </w:rPr>
        <w:noBreakHyphen/>
        <w:t>25.</w:t>
      </w:r>
      <w:r>
        <w:rPr>
          <w:rFonts w:cs="Times New Roman"/>
          <w:color w:val="000000"/>
        </w:rPr>
        <w:tab/>
      </w:r>
      <w:r w:rsidRPr="000036EE">
        <w:rPr>
          <w:rFonts w:cs="Times New Roman"/>
          <w:color w:val="000000"/>
        </w:rPr>
        <w:t>Nothing in this chapter nor any other provision of law may be construed as either requiring or prohibiting a political party in this State from conducting advisory primaries according to the party</w:t>
      </w:r>
      <w:r w:rsidRPr="00596D67">
        <w:rPr>
          <w:rFonts w:cs="Times New Roman"/>
          <w:color w:val="000000"/>
        </w:rPr>
        <w:t>’</w:t>
      </w:r>
      <w:r w:rsidRPr="000036EE">
        <w:rPr>
          <w:rFonts w:cs="Times New Roman"/>
          <w:color w:val="000000"/>
        </w:rPr>
        <w:t>s own rules and at the party</w:t>
      </w:r>
      <w:r w:rsidRPr="00596D67">
        <w:rPr>
          <w:rFonts w:cs="Times New Roman"/>
          <w:color w:val="000000"/>
        </w:rPr>
        <w:t>’</w:t>
      </w:r>
      <w:r w:rsidRPr="000036EE">
        <w:rPr>
          <w:rFonts w:cs="Times New Roman"/>
          <w:color w:val="000000"/>
        </w:rPr>
        <w:t>s expense.”</w:t>
      </w: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7CC0" w:rsidRPr="00596D67" w:rsidRDefault="00E87CC0" w:rsidP="00E87CC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Primaries to be conducted by State Election Commission, retention of fees</w:t>
      </w:r>
    </w:p>
    <w:p w:rsidR="00E87CC0" w:rsidRDefault="00E87CC0" w:rsidP="00E87CC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7CC0" w:rsidRPr="000036EE" w:rsidRDefault="00E87CC0" w:rsidP="00E87CC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36EE">
        <w:rPr>
          <w:rFonts w:cs="Times New Roman"/>
        </w:rPr>
        <w:t>SECTION</w:t>
      </w:r>
      <w:r w:rsidRPr="000036EE">
        <w:rPr>
          <w:rFonts w:cs="Times New Roman"/>
        </w:rPr>
        <w:tab/>
        <w:t>3.</w:t>
      </w:r>
      <w:r w:rsidRPr="000036EE">
        <w:rPr>
          <w:rFonts w:cs="Times New Roman"/>
        </w:rPr>
        <w:tab/>
        <w:t>Section 7</w:t>
      </w:r>
      <w:r>
        <w:rPr>
          <w:rFonts w:cs="Times New Roman"/>
        </w:rPr>
        <w:noBreakHyphen/>
      </w:r>
      <w:r w:rsidRPr="000036EE">
        <w:rPr>
          <w:rFonts w:cs="Times New Roman"/>
        </w:rPr>
        <w:t>13</w:t>
      </w:r>
      <w:r>
        <w:rPr>
          <w:rFonts w:cs="Times New Roman"/>
        </w:rPr>
        <w:noBreakHyphen/>
      </w:r>
      <w:r w:rsidRPr="000036EE">
        <w:rPr>
          <w:rFonts w:cs="Times New Roman"/>
        </w:rPr>
        <w:t>15 of the 1976 Code, as last amended by Act 81 of 2007, is further amended to read:</w:t>
      </w: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036EE">
        <w:rPr>
          <w:rFonts w:cs="Times New Roman"/>
        </w:rPr>
        <w:tab/>
        <w:t>“Section 7</w:t>
      </w:r>
      <w:r>
        <w:rPr>
          <w:rFonts w:cs="Times New Roman"/>
        </w:rPr>
        <w:noBreakHyphen/>
      </w:r>
      <w:r w:rsidRPr="000036EE">
        <w:rPr>
          <w:rFonts w:cs="Times New Roman"/>
        </w:rPr>
        <w:t>13</w:t>
      </w:r>
      <w:r>
        <w:rPr>
          <w:rFonts w:cs="Times New Roman"/>
        </w:rPr>
        <w:noBreakHyphen/>
      </w:r>
      <w:r w:rsidRPr="000036EE">
        <w:rPr>
          <w:rFonts w:cs="Times New Roman"/>
        </w:rPr>
        <w:t>15.</w:t>
      </w:r>
      <w:r w:rsidRPr="000036EE">
        <w:rPr>
          <w:rFonts w:cs="Times New Roman"/>
        </w:rPr>
        <w:tab/>
      </w:r>
      <w:r w:rsidRPr="000036EE">
        <w:rPr>
          <w:rFonts w:cs="Times New Roman"/>
          <w:color w:val="000000"/>
        </w:rPr>
        <w:t>(A)</w:t>
      </w:r>
      <w:r w:rsidRPr="000036EE">
        <w:rPr>
          <w:rFonts w:cs="Times New Roman"/>
          <w:color w:val="000000"/>
        </w:rPr>
        <w:tab/>
        <w:t>This section does not apply to municipal primaries.</w:t>
      </w: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036EE">
        <w:rPr>
          <w:rFonts w:cs="Times New Roman"/>
          <w:color w:val="000000"/>
        </w:rPr>
        <w:tab/>
        <w:t>(B)</w:t>
      </w:r>
      <w:r w:rsidRPr="000036EE">
        <w:rPr>
          <w:rFonts w:cs="Times New Roman"/>
          <w:color w:val="000000"/>
        </w:rPr>
        <w:tab/>
        <w:t>Except as provided in subsection (A) or unless otherwise specifically provided for by statute or ordinance, the following primaries must be conducted by the State Election Commission and the county election commissions on the second Tuesday in June of each general election year:</w:t>
      </w: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036EE">
        <w:rPr>
          <w:rFonts w:cs="Times New Roman"/>
          <w:color w:val="000000"/>
        </w:rPr>
        <w:tab/>
      </w:r>
      <w:r w:rsidRPr="000036EE">
        <w:rPr>
          <w:rFonts w:cs="Times New Roman"/>
          <w:color w:val="000000"/>
        </w:rPr>
        <w:tab/>
        <w:t>(1)</w:t>
      </w:r>
      <w:r w:rsidRPr="000036EE">
        <w:rPr>
          <w:rFonts w:cs="Times New Roman"/>
          <w:color w:val="000000"/>
        </w:rPr>
        <w:tab/>
        <w:t>primaries for federal offices, excluding a presidential preference primary for the Office of President of the United States as provided pursuant to Section 7</w:t>
      </w:r>
      <w:r>
        <w:rPr>
          <w:rFonts w:cs="Times New Roman"/>
          <w:color w:val="000000"/>
        </w:rPr>
        <w:noBreakHyphen/>
      </w:r>
      <w:r w:rsidRPr="000036EE">
        <w:rPr>
          <w:rFonts w:cs="Times New Roman"/>
          <w:color w:val="000000"/>
        </w:rPr>
        <w:t>11</w:t>
      </w:r>
      <w:r>
        <w:rPr>
          <w:rFonts w:cs="Times New Roman"/>
          <w:color w:val="000000"/>
        </w:rPr>
        <w:noBreakHyphen/>
      </w:r>
      <w:r w:rsidRPr="000036EE">
        <w:rPr>
          <w:rFonts w:cs="Times New Roman"/>
          <w:color w:val="000000"/>
        </w:rPr>
        <w:t>20(B); and</w:t>
      </w: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036EE">
        <w:rPr>
          <w:rFonts w:cs="Times New Roman"/>
          <w:color w:val="000000"/>
        </w:rPr>
        <w:tab/>
      </w:r>
      <w:r w:rsidRPr="000036EE">
        <w:rPr>
          <w:rFonts w:cs="Times New Roman"/>
          <w:color w:val="000000"/>
        </w:rPr>
        <w:tab/>
        <w:t>(2)</w:t>
      </w:r>
      <w:r w:rsidRPr="000036EE">
        <w:rPr>
          <w:rFonts w:cs="Times New Roman"/>
          <w:color w:val="000000"/>
        </w:rPr>
        <w:tab/>
        <w:t>primaries for:</w:t>
      </w: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036EE">
        <w:rPr>
          <w:rFonts w:cs="Times New Roman"/>
          <w:color w:val="000000"/>
        </w:rPr>
        <w:tab/>
      </w:r>
      <w:r w:rsidRPr="000036EE">
        <w:rPr>
          <w:rFonts w:cs="Times New Roman"/>
          <w:color w:val="000000"/>
        </w:rPr>
        <w:tab/>
      </w:r>
      <w:r w:rsidRPr="000036EE">
        <w:rPr>
          <w:rFonts w:cs="Times New Roman"/>
          <w:color w:val="000000"/>
        </w:rPr>
        <w:tab/>
        <w:t>(a)</w:t>
      </w:r>
      <w:r w:rsidRPr="000036EE">
        <w:rPr>
          <w:rFonts w:cs="Times New Roman"/>
          <w:color w:val="000000"/>
        </w:rPr>
        <w:tab/>
        <w:t>state offices;</w:t>
      </w: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036EE">
        <w:rPr>
          <w:rFonts w:cs="Times New Roman"/>
          <w:color w:val="000000"/>
        </w:rPr>
        <w:tab/>
      </w:r>
      <w:r w:rsidRPr="000036EE">
        <w:rPr>
          <w:rFonts w:cs="Times New Roman"/>
          <w:color w:val="000000"/>
        </w:rPr>
        <w:tab/>
      </w:r>
      <w:r w:rsidRPr="000036EE">
        <w:rPr>
          <w:rFonts w:cs="Times New Roman"/>
          <w:color w:val="000000"/>
        </w:rPr>
        <w:tab/>
        <w:t>(b)</w:t>
      </w:r>
      <w:r w:rsidRPr="000036EE">
        <w:rPr>
          <w:rFonts w:cs="Times New Roman"/>
          <w:color w:val="000000"/>
        </w:rPr>
        <w:tab/>
        <w:t>offices including more than one county;</w:t>
      </w: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036EE">
        <w:rPr>
          <w:rFonts w:cs="Times New Roman"/>
          <w:color w:val="000000"/>
        </w:rPr>
        <w:tab/>
      </w:r>
      <w:r w:rsidRPr="000036EE">
        <w:rPr>
          <w:rFonts w:cs="Times New Roman"/>
          <w:color w:val="000000"/>
        </w:rPr>
        <w:tab/>
      </w:r>
      <w:r w:rsidRPr="000036EE">
        <w:rPr>
          <w:rFonts w:cs="Times New Roman"/>
          <w:color w:val="000000"/>
        </w:rPr>
        <w:tab/>
        <w:t>(c)</w:t>
      </w:r>
      <w:r w:rsidRPr="000036EE">
        <w:rPr>
          <w:rFonts w:cs="Times New Roman"/>
          <w:color w:val="000000"/>
        </w:rPr>
        <w:tab/>
        <w:t>countywide and less than countywide offices, specifically including, but not limited to, all school boards and school trustees; and</w:t>
      </w: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036EE">
        <w:rPr>
          <w:rFonts w:cs="Times New Roman"/>
          <w:color w:val="000000"/>
        </w:rPr>
        <w:tab/>
      </w:r>
      <w:r w:rsidRPr="000036EE">
        <w:rPr>
          <w:rFonts w:cs="Times New Roman"/>
          <w:color w:val="000000"/>
        </w:rPr>
        <w:tab/>
      </w:r>
      <w:r w:rsidRPr="000036EE">
        <w:rPr>
          <w:rFonts w:cs="Times New Roman"/>
          <w:color w:val="000000"/>
        </w:rPr>
        <w:tab/>
        <w:t>(d)</w:t>
      </w:r>
      <w:r w:rsidRPr="000036EE">
        <w:rPr>
          <w:rFonts w:cs="Times New Roman"/>
          <w:color w:val="000000"/>
        </w:rPr>
        <w:tab/>
        <w:t>special purpose district offices, which include, but are not limited to, water, sewer, fire, soil conservation, and other similar district offices.</w:t>
      </w: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36EE">
        <w:rPr>
          <w:rFonts w:cs="Times New Roman"/>
          <w:color w:val="000000"/>
        </w:rPr>
        <w:tab/>
        <w:t>(C)</w:t>
      </w:r>
      <w:r w:rsidRPr="000036EE">
        <w:rPr>
          <w:rFonts w:cs="Times New Roman"/>
          <w:color w:val="000000"/>
        </w:rPr>
        <w:tab/>
        <w:t>Filing fees received from candidates filing to run in primary elections may be retained and expended by the State Election Commission to pay for the conduct of primary elections.  Any balance in the filing fee accounts or in the primary and general election accounts as of each June thirtieth may be carried forward in these accounts to the succeeding fiscal year and must be expended for the same purposes.”</w:t>
      </w: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7CC0" w:rsidRPr="00596D67"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87CC0"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7CC0" w:rsidRPr="000036EE" w:rsidRDefault="00E87CC0"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36EE">
        <w:rPr>
          <w:rFonts w:cs="Times New Roman"/>
        </w:rPr>
        <w:t>SECTION</w:t>
      </w:r>
      <w:r w:rsidRPr="000036EE">
        <w:rPr>
          <w:rFonts w:cs="Times New Roman"/>
        </w:rPr>
        <w:tab/>
        <w:t>4.</w:t>
      </w:r>
      <w:r w:rsidRPr="000036EE">
        <w:rPr>
          <w:rFonts w:cs="Times New Roman"/>
        </w:rPr>
        <w:tab/>
        <w:t>This act takes effect upon approval by the Governor.</w:t>
      </w:r>
    </w:p>
    <w:p w:rsidR="00E87CC0" w:rsidRDefault="00E87CC0" w:rsidP="00E87CC0">
      <w:pPr>
        <w:tabs>
          <w:tab w:val="left" w:pos="1440"/>
          <w:tab w:val="left" w:pos="1800"/>
          <w:tab w:val="left" w:pos="2880"/>
        </w:tabs>
        <w:rPr>
          <w:color w:val="000000" w:themeColor="text1"/>
        </w:rPr>
      </w:pPr>
    </w:p>
    <w:p w:rsidR="00E87CC0" w:rsidRDefault="00E87CC0" w:rsidP="00E87CC0">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E87CC0" w:rsidRDefault="00E87CC0" w:rsidP="00E87CC0">
      <w:pPr>
        <w:tabs>
          <w:tab w:val="left" w:pos="1440"/>
          <w:tab w:val="left" w:pos="1800"/>
          <w:tab w:val="left" w:pos="2880"/>
        </w:tabs>
        <w:rPr>
          <w:color w:val="000000" w:themeColor="text1"/>
        </w:rPr>
      </w:pPr>
    </w:p>
    <w:p w:rsidR="00E87CC0" w:rsidRDefault="00E87CC0" w:rsidP="00E87CC0">
      <w:pPr>
        <w:tabs>
          <w:tab w:val="left" w:pos="1440"/>
          <w:tab w:val="left" w:pos="1800"/>
          <w:tab w:val="left" w:pos="2880"/>
        </w:tabs>
        <w:rPr>
          <w:color w:val="000000" w:themeColor="text1"/>
        </w:rPr>
      </w:pPr>
      <w:r>
        <w:rPr>
          <w:color w:val="000000" w:themeColor="text1"/>
        </w:rPr>
        <w:t>Approved the 6</w:t>
      </w:r>
      <w:r w:rsidRPr="004F006B">
        <w:rPr>
          <w:color w:val="000000" w:themeColor="text1"/>
          <w:vertAlign w:val="superscript"/>
        </w:rPr>
        <w:t>th</w:t>
      </w:r>
      <w:r>
        <w:rPr>
          <w:color w:val="000000" w:themeColor="text1"/>
        </w:rPr>
        <w:t xml:space="preserve"> day of June, 2014. </w:t>
      </w:r>
    </w:p>
    <w:p w:rsidR="00E87CC0" w:rsidRDefault="00E87CC0" w:rsidP="00E87CC0">
      <w:pPr>
        <w:tabs>
          <w:tab w:val="left" w:pos="1440"/>
          <w:tab w:val="left" w:pos="1800"/>
          <w:tab w:val="left" w:pos="2880"/>
        </w:tabs>
        <w:jc w:val="center"/>
        <w:rPr>
          <w:color w:val="000000" w:themeColor="text1"/>
        </w:rPr>
      </w:pPr>
    </w:p>
    <w:p w:rsidR="00E87CC0" w:rsidRDefault="00E87CC0" w:rsidP="00E87CC0">
      <w:pPr>
        <w:tabs>
          <w:tab w:val="left" w:pos="1440"/>
          <w:tab w:val="left" w:pos="1800"/>
          <w:tab w:val="left" w:pos="2880"/>
        </w:tabs>
        <w:jc w:val="center"/>
        <w:rPr>
          <w:color w:val="000000" w:themeColor="text1"/>
        </w:rPr>
      </w:pPr>
      <w:r>
        <w:rPr>
          <w:color w:val="000000" w:themeColor="text1"/>
        </w:rPr>
        <w:t>__________</w:t>
      </w:r>
    </w:p>
    <w:p w:rsidR="00570F07" w:rsidRDefault="00570F07" w:rsidP="00E8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70F07" w:rsidSect="00E2663A">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D67" w:rsidRDefault="00596D67" w:rsidP="007D5FAC">
      <w:r>
        <w:separator/>
      </w:r>
    </w:p>
  </w:endnote>
  <w:endnote w:type="continuationSeparator" w:id="0">
    <w:p w:rsidR="00596D67" w:rsidRDefault="00596D6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63A" w:rsidRPr="00E2663A" w:rsidRDefault="00E2663A" w:rsidP="00E2663A">
    <w:pPr>
      <w:pStyle w:val="Footer"/>
      <w:tabs>
        <w:tab w:val="clear" w:pos="4680"/>
        <w:tab w:val="clear" w:pos="9360"/>
        <w:tab w:val="center" w:pos="3168"/>
      </w:tabs>
      <w:spacing w:before="120"/>
    </w:pPr>
    <w:r>
      <w:tab/>
    </w:r>
    <w:r w:rsidR="00346771">
      <w:fldChar w:fldCharType="begin"/>
    </w:r>
    <w:r w:rsidR="00346771">
      <w:instrText xml:space="preserve"> PAGE  \* MERGEFORMAT </w:instrText>
    </w:r>
    <w:r w:rsidR="00346771">
      <w:fldChar w:fldCharType="separate"/>
    </w:r>
    <w:r w:rsidR="005A0FDB">
      <w:rPr>
        <w:noProof/>
      </w:rPr>
      <w:t>2</w:t>
    </w:r>
    <w:r w:rsidR="0034677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63A" w:rsidRDefault="00E26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D67" w:rsidRDefault="00596D67" w:rsidP="007D5FAC">
      <w:r>
        <w:separator/>
      </w:r>
    </w:p>
  </w:footnote>
  <w:footnote w:type="continuationSeparator" w:id="0">
    <w:p w:rsidR="00596D67" w:rsidRDefault="00596D6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Williams"/>
    <w:docVar w:name="ActBillNo" w:val="4732"/>
    <w:docVar w:name="ActSecretary" w:val="Shackelford"/>
    <w:docVar w:name="ActSIdno" w:val="(265)  4732ZW14"/>
    <w:docVar w:name="clipname" w:val="4732ZW14"/>
    <w:docVar w:name="dvBillNumber" w:val="4732"/>
    <w:docVar w:name="dvBillNumberPrefix" w:val="H"/>
    <w:docVar w:name="dvOriginalBody" w:val="House"/>
    <w:docVar w:name="HOUSEACTFULLPATH" w:val="L:\COUNCIL\ACTS\4732ZW14.DOCX"/>
    <w:docVar w:name="OrigHOUSEBillNo" w:val="4732"/>
    <w:docVar w:name="WhatActtype" w:val="AN ACT"/>
  </w:docVars>
  <w:rsids>
    <w:rsidRoot w:val="00105552"/>
    <w:rsid w:val="00002DE0"/>
    <w:rsid w:val="00020349"/>
    <w:rsid w:val="00020977"/>
    <w:rsid w:val="00021B0B"/>
    <w:rsid w:val="00040C05"/>
    <w:rsid w:val="0004579B"/>
    <w:rsid w:val="00051B4F"/>
    <w:rsid w:val="00060E60"/>
    <w:rsid w:val="000673E4"/>
    <w:rsid w:val="0007088D"/>
    <w:rsid w:val="000731E9"/>
    <w:rsid w:val="00074565"/>
    <w:rsid w:val="00076A1A"/>
    <w:rsid w:val="000770E8"/>
    <w:rsid w:val="00077DA3"/>
    <w:rsid w:val="00081300"/>
    <w:rsid w:val="00085C37"/>
    <w:rsid w:val="00087FCC"/>
    <w:rsid w:val="00092EE6"/>
    <w:rsid w:val="00096A9B"/>
    <w:rsid w:val="00096BDA"/>
    <w:rsid w:val="000A6151"/>
    <w:rsid w:val="000B316D"/>
    <w:rsid w:val="000B56CB"/>
    <w:rsid w:val="000D6F51"/>
    <w:rsid w:val="001030FE"/>
    <w:rsid w:val="001031AE"/>
    <w:rsid w:val="00103295"/>
    <w:rsid w:val="00103D2E"/>
    <w:rsid w:val="00104519"/>
    <w:rsid w:val="00105552"/>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0CB8"/>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0552"/>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15B9"/>
    <w:rsid w:val="002A23CF"/>
    <w:rsid w:val="002A6880"/>
    <w:rsid w:val="002A757C"/>
    <w:rsid w:val="002A7F6D"/>
    <w:rsid w:val="002B787D"/>
    <w:rsid w:val="002C0E95"/>
    <w:rsid w:val="002C3DB3"/>
    <w:rsid w:val="002C4C93"/>
    <w:rsid w:val="002C5CE0"/>
    <w:rsid w:val="002C7D37"/>
    <w:rsid w:val="002D3267"/>
    <w:rsid w:val="002D48EB"/>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46771"/>
    <w:rsid w:val="00360108"/>
    <w:rsid w:val="00360D70"/>
    <w:rsid w:val="00364D3F"/>
    <w:rsid w:val="00366494"/>
    <w:rsid w:val="00370DA1"/>
    <w:rsid w:val="00372564"/>
    <w:rsid w:val="00372FF8"/>
    <w:rsid w:val="0038005A"/>
    <w:rsid w:val="0039655A"/>
    <w:rsid w:val="00396C58"/>
    <w:rsid w:val="003A2751"/>
    <w:rsid w:val="003A55FD"/>
    <w:rsid w:val="003A6D96"/>
    <w:rsid w:val="003A7517"/>
    <w:rsid w:val="003B105A"/>
    <w:rsid w:val="003B1A01"/>
    <w:rsid w:val="003B2E6E"/>
    <w:rsid w:val="003B355D"/>
    <w:rsid w:val="003B6BB7"/>
    <w:rsid w:val="003B746E"/>
    <w:rsid w:val="003C030C"/>
    <w:rsid w:val="003D2A73"/>
    <w:rsid w:val="003D5D65"/>
    <w:rsid w:val="003D6928"/>
    <w:rsid w:val="003E2FE8"/>
    <w:rsid w:val="003F50D0"/>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86FE5"/>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0F07"/>
    <w:rsid w:val="00573BBA"/>
    <w:rsid w:val="005741F9"/>
    <w:rsid w:val="005839FC"/>
    <w:rsid w:val="00583CB3"/>
    <w:rsid w:val="005859EE"/>
    <w:rsid w:val="00586D93"/>
    <w:rsid w:val="00591D7C"/>
    <w:rsid w:val="00594D39"/>
    <w:rsid w:val="00596D67"/>
    <w:rsid w:val="005A06C1"/>
    <w:rsid w:val="005A0FDB"/>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2E01"/>
    <w:rsid w:val="007009F2"/>
    <w:rsid w:val="00703D30"/>
    <w:rsid w:val="00704FF9"/>
    <w:rsid w:val="007052EC"/>
    <w:rsid w:val="00706B65"/>
    <w:rsid w:val="007261EE"/>
    <w:rsid w:val="00733A16"/>
    <w:rsid w:val="00733C4C"/>
    <w:rsid w:val="00737039"/>
    <w:rsid w:val="007373C7"/>
    <w:rsid w:val="00740BEB"/>
    <w:rsid w:val="007448F1"/>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53AD"/>
    <w:rsid w:val="007C7B7F"/>
    <w:rsid w:val="007D5FAC"/>
    <w:rsid w:val="007E166F"/>
    <w:rsid w:val="007E19E6"/>
    <w:rsid w:val="007E3A81"/>
    <w:rsid w:val="007F6631"/>
    <w:rsid w:val="007F6D46"/>
    <w:rsid w:val="007F7184"/>
    <w:rsid w:val="00800AD0"/>
    <w:rsid w:val="00805054"/>
    <w:rsid w:val="008066FB"/>
    <w:rsid w:val="00812E0E"/>
    <w:rsid w:val="0081729E"/>
    <w:rsid w:val="00817A02"/>
    <w:rsid w:val="00832F5E"/>
    <w:rsid w:val="00836D7F"/>
    <w:rsid w:val="00841A98"/>
    <w:rsid w:val="00841BFC"/>
    <w:rsid w:val="008449B6"/>
    <w:rsid w:val="008477C7"/>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6DA6"/>
    <w:rsid w:val="008B2051"/>
    <w:rsid w:val="008B347C"/>
    <w:rsid w:val="008B48BD"/>
    <w:rsid w:val="008C325E"/>
    <w:rsid w:val="008E03BA"/>
    <w:rsid w:val="008F4CA1"/>
    <w:rsid w:val="008F510F"/>
    <w:rsid w:val="008F5F0A"/>
    <w:rsid w:val="008F78EB"/>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361C"/>
    <w:rsid w:val="009B6EA6"/>
    <w:rsid w:val="009D0B32"/>
    <w:rsid w:val="009D335B"/>
    <w:rsid w:val="009D4E26"/>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098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EA3"/>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85849"/>
    <w:rsid w:val="00B92CEA"/>
    <w:rsid w:val="00BB025F"/>
    <w:rsid w:val="00BB1593"/>
    <w:rsid w:val="00BB43F6"/>
    <w:rsid w:val="00BB6EF3"/>
    <w:rsid w:val="00BC5FF9"/>
    <w:rsid w:val="00BC6307"/>
    <w:rsid w:val="00BE36EB"/>
    <w:rsid w:val="00BE41F8"/>
    <w:rsid w:val="00BF0852"/>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57302"/>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3258"/>
    <w:rsid w:val="00DC5BC6"/>
    <w:rsid w:val="00DC6CFE"/>
    <w:rsid w:val="00DD2595"/>
    <w:rsid w:val="00DD314B"/>
    <w:rsid w:val="00DD3B8D"/>
    <w:rsid w:val="00DD5167"/>
    <w:rsid w:val="00DD557D"/>
    <w:rsid w:val="00DF0E69"/>
    <w:rsid w:val="00DF3655"/>
    <w:rsid w:val="00E00FC9"/>
    <w:rsid w:val="00E02CA8"/>
    <w:rsid w:val="00E0650C"/>
    <w:rsid w:val="00E06B5E"/>
    <w:rsid w:val="00E076BB"/>
    <w:rsid w:val="00E140B1"/>
    <w:rsid w:val="00E14905"/>
    <w:rsid w:val="00E2663A"/>
    <w:rsid w:val="00E33964"/>
    <w:rsid w:val="00E33DFF"/>
    <w:rsid w:val="00E3462F"/>
    <w:rsid w:val="00E36231"/>
    <w:rsid w:val="00E500F1"/>
    <w:rsid w:val="00E5358E"/>
    <w:rsid w:val="00E60357"/>
    <w:rsid w:val="00E61B4C"/>
    <w:rsid w:val="00E71D4E"/>
    <w:rsid w:val="00E757F4"/>
    <w:rsid w:val="00E87CC0"/>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0045"/>
    <w:rsid w:val="00FA7E14"/>
    <w:rsid w:val="00FB1A6A"/>
    <w:rsid w:val="00FB5F2C"/>
    <w:rsid w:val="00FC380D"/>
    <w:rsid w:val="00FC6D4B"/>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72241B50-BFE1-42FB-9C62-66802EBD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266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596D67"/>
    <w:rPr>
      <w:rFonts w:ascii="Tahoma" w:hAnsi="Tahoma" w:cs="Tahoma"/>
      <w:sz w:val="16"/>
      <w:szCs w:val="16"/>
    </w:rPr>
  </w:style>
  <w:style w:type="character" w:customStyle="1" w:styleId="BalloonTextChar">
    <w:name w:val="Balloon Text Char"/>
    <w:basedOn w:val="DefaultParagraphFont"/>
    <w:link w:val="BalloonText"/>
    <w:uiPriority w:val="99"/>
    <w:semiHidden/>
    <w:rsid w:val="00596D67"/>
    <w:rPr>
      <w:rFonts w:ascii="Tahoma" w:hAnsi="Tahoma" w:cs="Tahoma"/>
      <w:sz w:val="16"/>
      <w:szCs w:val="16"/>
    </w:rPr>
  </w:style>
  <w:style w:type="table" w:styleId="TableGrid">
    <w:name w:val="Table Grid"/>
    <w:basedOn w:val="TableNormal"/>
    <w:uiPriority w:val="59"/>
    <w:rsid w:val="007C53A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2663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C6D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2-20-14.docx" TargetMode="External"/><Relationship Id="rId13" Type="http://schemas.openxmlformats.org/officeDocument/2006/relationships/hyperlink" Target="file:///H:\SJ%20Archive\2014\03-27-14.docx" TargetMode="External"/><Relationship Id="rId18" Type="http://schemas.openxmlformats.org/officeDocument/2006/relationships/hyperlink" Target="file:///H:\SJ%20Archive\2014\05-29-14.docx" TargetMode="External"/><Relationship Id="rId3" Type="http://schemas.openxmlformats.org/officeDocument/2006/relationships/settings" Target="settings.xml"/><Relationship Id="rId21" Type="http://schemas.openxmlformats.org/officeDocument/2006/relationships/hyperlink" Target="file:///p:\pprever\2013-14\4732_20140521.docx" TargetMode="External"/><Relationship Id="rId7" Type="http://schemas.openxmlformats.org/officeDocument/2006/relationships/hyperlink" Target="file:///H:\HJ%20Archive\2014\02-20-14.docx" TargetMode="External"/><Relationship Id="rId12" Type="http://schemas.openxmlformats.org/officeDocument/2006/relationships/hyperlink" Target="file:///H:\HJ%20Archive\2014\03-27-14.docx" TargetMode="External"/><Relationship Id="rId17" Type="http://schemas.openxmlformats.org/officeDocument/2006/relationships/hyperlink" Target="file:///H:\SJ%20Archive\2014\05-28-14.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4\05-28-14.docx" TargetMode="External"/><Relationship Id="rId20" Type="http://schemas.openxmlformats.org/officeDocument/2006/relationships/hyperlink" Target="file:///p:\pprever\2013-14\4732_201403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3-26-1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4\05-21-14.docx" TargetMode="External"/><Relationship Id="rId23" Type="http://schemas.openxmlformats.org/officeDocument/2006/relationships/footer" Target="footer2.xml"/><Relationship Id="rId10" Type="http://schemas.openxmlformats.org/officeDocument/2006/relationships/hyperlink" Target="file:///H:\HJ%20Archive\2014\03-26-14.docx" TargetMode="External"/><Relationship Id="rId19" Type="http://schemas.openxmlformats.org/officeDocument/2006/relationships/hyperlink" Target="file:///p:\pprever\2013-14\4732_20140220.docx" TargetMode="External"/><Relationship Id="rId4" Type="http://schemas.openxmlformats.org/officeDocument/2006/relationships/webSettings" Target="webSettings.xml"/><Relationship Id="rId9" Type="http://schemas.openxmlformats.org/officeDocument/2006/relationships/hyperlink" Target="file:///H:\HJ%20Archive\2014\03-20-14.docx" TargetMode="External"/><Relationship Id="rId14" Type="http://schemas.openxmlformats.org/officeDocument/2006/relationships/hyperlink" Target="file:///H:\SJ%20Archive\2014\03-27-1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1C38A-C1D4-40A2-AF4C-2697DD05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4732: Party conventions or party primary elections - South Carolina Legislature Online</dc:title>
  <dc:subject/>
  <dc:creator>GloriaShackelford</dc:creator>
  <cp:keywords/>
  <dc:description/>
  <cp:lastModifiedBy>N Cumfer</cp:lastModifiedBy>
  <cp:revision>4</cp:revision>
  <cp:lastPrinted>2014-05-30T17:37:00Z</cp:lastPrinted>
  <dcterms:created xsi:type="dcterms:W3CDTF">2014-08-08T13:32:00Z</dcterms:created>
  <dcterms:modified xsi:type="dcterms:W3CDTF">2014-12-05T17:01:00Z</dcterms:modified>
</cp:coreProperties>
</file>