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236D9" w:rsidRP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2013</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D9" w:rsidRPr="00A236D9" w:rsidRDefault="00A236D9" w:rsidP="00A236D9">
      <w:pPr>
        <w:tabs>
          <w:tab w:val="right" w:pos="5933"/>
        </w:tabs>
        <w:suppressAutoHyphens/>
        <w:jc w:val="both"/>
        <w:rPr>
          <w:rFonts w:eastAsia="Times New Roman"/>
        </w:rPr>
      </w:pPr>
      <w:r>
        <w:rPr>
          <w:rFonts w:eastAsia="Times New Roman"/>
        </w:rPr>
        <w:tab/>
      </w:r>
      <w:r>
        <w:rPr>
          <w:rFonts w:eastAsia="Times New Roman"/>
          <w:b/>
          <w:sz w:val="36"/>
        </w:rPr>
        <w:t>S. 163</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McGill, O’Dell, Cleary, Ford and Alexander</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4/23/13--H.</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17, 2013.</w:t>
      </w:r>
    </w:p>
    <w:p w:rsidR="00A236D9" w:rsidRPr="00A236D9" w:rsidRDefault="00A236D9" w:rsidP="00A2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36D9" w:rsidRDefault="00A23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FB1" w:rsidSect="00107F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12-62-50(A)(1) of the 1976 Code is amended to read:</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FD2A57"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D2A57">
        <w:rPr>
          <w:color w:val="000000" w:themeColor="text1"/>
          <w:u w:color="000000" w:themeColor="text1"/>
        </w:rPr>
        <w:t>(A)(1)</w:t>
      </w:r>
      <w:r w:rsidR="009C3851">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 xml:space="preserve">percent of the total aggregate South Carolina payroll for persons </w:t>
      </w:r>
      <w:r w:rsidRPr="00FD2A57">
        <w:rPr>
          <w:color w:val="000000" w:themeColor="text1"/>
          <w:u w:color="000000" w:themeColor="text1"/>
        </w:rPr>
        <w:lastRenderedPageBreak/>
        <w:t>subject to South Carolina income tax withholdings</w:t>
      </w:r>
      <w:r>
        <w:rPr>
          <w:color w:val="000000" w:themeColor="text1"/>
          <w:u w:val="single" w:color="000000" w:themeColor="text1"/>
        </w:rPr>
        <w:t>, and may not exceed twenty-five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w:t>
      </w:r>
      <w:r w:rsidR="00183161">
        <w:rPr>
          <w:color w:val="000000" w:themeColor="text1"/>
          <w:u w:color="000000" w:themeColor="text1"/>
        </w:rPr>
        <w:t>‘</w:t>
      </w:r>
      <w:r w:rsidRPr="00FD2A57">
        <w:rPr>
          <w:color w:val="000000" w:themeColor="text1"/>
          <w:u w:color="000000" w:themeColor="text1"/>
        </w:rPr>
        <w:t>total aggregate payroll</w:t>
      </w:r>
      <w:r w:rsidR="00183161">
        <w:rPr>
          <w:color w:val="000000" w:themeColor="text1"/>
          <w:u w:color="000000" w:themeColor="text1"/>
        </w:rPr>
        <w:t>’</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12-62-60(A)(1) of the 1976 Code is amended to read:</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4E24E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4E24E5">
        <w:rPr>
          <w:color w:val="000000" w:themeColor="text1"/>
          <w:u w:color="000000" w:themeColor="text1"/>
        </w:rPr>
        <w:t>(A)(1)</w:t>
      </w:r>
      <w:r w:rsidR="009C3851">
        <w:rPr>
          <w:color w:val="000000" w:themeColor="text1"/>
          <w:u w:color="000000" w:themeColor="text1"/>
        </w:rPr>
        <w:tab/>
      </w:r>
      <w:r w:rsidRPr="004E24E5">
        <w:rPr>
          <w:color w:val="000000" w:themeColor="text1"/>
          <w:u w:color="000000" w:themeColor="text1"/>
        </w:rPr>
        <w:t>An amount equal to twenty</w:t>
      </w:r>
      <w:r w:rsidRPr="004E24E5">
        <w:rPr>
          <w:color w:val="000000" w:themeColor="text1"/>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sidRPr="004E24E5">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Chapter 62, Title 12 of the 1976 Code is amended by adding:</w:t>
      </w: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“Section 12</w:t>
      </w:r>
      <w:r>
        <w:rPr>
          <w:rFonts w:eastAsia="Times New Roman"/>
          <w:snapToGrid w:val="0"/>
          <w:szCs w:val="20"/>
        </w:rPr>
        <w:noBreakHyphen/>
        <w:t>62</w:t>
      </w:r>
      <w:r>
        <w:rPr>
          <w:rFonts w:eastAsia="Times New Roman"/>
          <w:snapToGrid w:val="0"/>
          <w:szCs w:val="20"/>
        </w:rPr>
        <w:noBreakHyphen/>
        <w:t>25.</w:t>
      </w:r>
      <w:r>
        <w:rPr>
          <w:rFonts w:eastAsia="Times New Roman"/>
          <w:snapToGrid w:val="0"/>
          <w:szCs w:val="20"/>
        </w:rPr>
        <w:tab/>
      </w:r>
      <w:r w:rsidRPr="00D71263">
        <w:rPr>
          <w:rFonts w:eastAsia="Times New Roman"/>
          <w:snapToGrid w:val="0"/>
          <w:szCs w:val="20"/>
        </w:rPr>
        <w:t xml:space="preserve">A motion picture production company </w:t>
      </w:r>
      <w:r>
        <w:rPr>
          <w:rFonts w:eastAsia="Times New Roman"/>
          <w:snapToGrid w:val="0"/>
          <w:szCs w:val="20"/>
        </w:rPr>
        <w:t>may not receive exemptions from taxes pursuant to this chapter for motion pictures that are rated NC</w:t>
      </w:r>
      <w:r>
        <w:rPr>
          <w:rFonts w:eastAsia="Times New Roman"/>
          <w:snapToGrid w:val="0"/>
          <w:szCs w:val="20"/>
        </w:rPr>
        <w:noBreakHyphen/>
        <w:t>17 by the Motion Picture Association of America.  A motion picture production company that receives exemptions from taxes pursuant to this chapter for a motion picture that receives a rating of NC</w:t>
      </w:r>
      <w:r>
        <w:rPr>
          <w:rFonts w:eastAsia="Times New Roman"/>
          <w:snapToGrid w:val="0"/>
          <w:szCs w:val="20"/>
        </w:rPr>
        <w:noBreakHyphen/>
        <w:t>17 after the exemption has been claimed must remit to the Department of Revenue an amount equal to the exemption received.”</w:t>
      </w:r>
    </w:p>
    <w:p w:rsidR="00E43E07" w:rsidRDefault="00E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43E07">
        <w:rPr>
          <w:rFonts w:eastAsia="Times New Roman"/>
        </w:rPr>
        <w:t>4</w:t>
      </w:r>
      <w:r>
        <w:rPr>
          <w:rFonts w:eastAsia="Times New Roman"/>
        </w:rPr>
        <w:t>.</w:t>
      </w:r>
      <w:r>
        <w:rPr>
          <w:rFonts w:eastAsia="Times New Roman"/>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4B4F20">
      <w:pPr>
        <w:suppressAutoHyphens/>
        <w:jc w:val="both"/>
        <w:rPr>
          <w:rFonts w:eastAsia="Times New Roman"/>
        </w:rPr>
      </w:pPr>
    </w:p>
    <w:sectPr w:rsidR="00B637E6" w:rsidSect="00107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A67D8B-AC66-4790-B3F3-29F708183B74}"/>
    <w:embedBold r:id="rId2" w:fontKey="{96B868B0-8579-4C1C-B336-9744A5F1CCB7}"/>
  </w:font>
  <w:font w:name="Calibri">
    <w:panose1 w:val="020F0502020204030204"/>
    <w:charset w:val="00"/>
    <w:family w:val="swiss"/>
    <w:pitch w:val="variable"/>
    <w:sig w:usb0="E10002FF" w:usb1="4000ACFF" w:usb2="00000009" w:usb3="00000000" w:csb0="0000019F" w:csb1="00000000"/>
    <w:embedRegular r:id="rId3" w:fontKey="{35908ACB-E0D6-4FF2-BE39-C300DC01A738}"/>
  </w:font>
  <w:font w:name="Cambria">
    <w:panose1 w:val="02040503050406030204"/>
    <w:charset w:val="00"/>
    <w:family w:val="roman"/>
    <w:pitch w:val="variable"/>
    <w:sig w:usb0="E00002FF" w:usb1="400004FF" w:usb2="00000000" w:usb3="00000000" w:csb0="0000019F" w:csb1="00000000"/>
    <w:embedRegular r:id="rId4" w:fontKey="{BE34AB48-509C-40C7-9DDB-2AC1BF7A66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rsidR="00107FB1">
      <w:t>-</w:t>
    </w:r>
    <w:fldSimple w:instr=" PAGE  \* MERGEFORMAT ">
      <w:r w:rsidR="004B4F20">
        <w:rPr>
          <w:noProof/>
        </w:rPr>
        <w:t>1</w:t>
      </w:r>
    </w:fldSimple>
    <w:r w:rsidR="00107F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1" w:rsidRPr="00B637E6" w:rsidRDefault="00107FB1" w:rsidP="00B637E6">
    <w:pPr>
      <w:pStyle w:val="Footer"/>
      <w:tabs>
        <w:tab w:val="clear" w:pos="4680"/>
        <w:tab w:val="clear" w:pos="9360"/>
        <w:tab w:val="center" w:pos="2995"/>
      </w:tabs>
      <w:spacing w:before="120"/>
    </w:pPr>
    <w:r>
      <w:t>[163]</w:t>
    </w:r>
    <w:r>
      <w:tab/>
    </w:r>
    <w:fldSimple w:instr=" PAGE  \* MERGEFORMAT ">
      <w:r w:rsidR="004B4F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0E6D87"/>
    <w:rsid w:val="00107FB1"/>
    <w:rsid w:val="0015694F"/>
    <w:rsid w:val="00170561"/>
    <w:rsid w:val="00183161"/>
    <w:rsid w:val="00186AC9"/>
    <w:rsid w:val="00197DF1"/>
    <w:rsid w:val="001A203A"/>
    <w:rsid w:val="001B3DD9"/>
    <w:rsid w:val="001B7E5D"/>
    <w:rsid w:val="001C7C24"/>
    <w:rsid w:val="001D3BAC"/>
    <w:rsid w:val="00205541"/>
    <w:rsid w:val="002117B2"/>
    <w:rsid w:val="00216025"/>
    <w:rsid w:val="00245C4E"/>
    <w:rsid w:val="00253E4C"/>
    <w:rsid w:val="002B0DD0"/>
    <w:rsid w:val="002C1321"/>
    <w:rsid w:val="002C5896"/>
    <w:rsid w:val="002D3BED"/>
    <w:rsid w:val="00307C2B"/>
    <w:rsid w:val="00341E4E"/>
    <w:rsid w:val="00353AA8"/>
    <w:rsid w:val="00383247"/>
    <w:rsid w:val="00386135"/>
    <w:rsid w:val="003D6E2B"/>
    <w:rsid w:val="003E7597"/>
    <w:rsid w:val="0044020F"/>
    <w:rsid w:val="00450668"/>
    <w:rsid w:val="004813A2"/>
    <w:rsid w:val="00487F4A"/>
    <w:rsid w:val="004952FA"/>
    <w:rsid w:val="004B4F20"/>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05CD0"/>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236D9"/>
    <w:rsid w:val="00A4011E"/>
    <w:rsid w:val="00A86015"/>
    <w:rsid w:val="00A9594E"/>
    <w:rsid w:val="00AA4F33"/>
    <w:rsid w:val="00AE59C8"/>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849CF"/>
    <w:rsid w:val="00CB187A"/>
    <w:rsid w:val="00CC0EC7"/>
    <w:rsid w:val="00D1088B"/>
    <w:rsid w:val="00D14DE6"/>
    <w:rsid w:val="00D156D2"/>
    <w:rsid w:val="00D515D6"/>
    <w:rsid w:val="00D53E29"/>
    <w:rsid w:val="00D86943"/>
    <w:rsid w:val="00DA47B9"/>
    <w:rsid w:val="00DF788D"/>
    <w:rsid w:val="00E058D3"/>
    <w:rsid w:val="00E43E07"/>
    <w:rsid w:val="00E76AD9"/>
    <w:rsid w:val="00E91E2F"/>
    <w:rsid w:val="00EA3546"/>
    <w:rsid w:val="00EB47AE"/>
    <w:rsid w:val="00EC34E1"/>
    <w:rsid w:val="00F0234A"/>
    <w:rsid w:val="00F02523"/>
    <w:rsid w:val="00F51241"/>
    <w:rsid w:val="00F52959"/>
    <w:rsid w:val="00F55884"/>
    <w:rsid w:val="00FA75A8"/>
    <w:rsid w:val="00FC0D36"/>
    <w:rsid w:val="00FC31F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2989</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2013-01-03T21:51:00Z</cp:lastPrinted>
  <dcterms:created xsi:type="dcterms:W3CDTF">2013-04-23T22:40:00Z</dcterms:created>
  <dcterms:modified xsi:type="dcterms:W3CDTF">2013-04-23T22:40:00Z</dcterms:modified>
</cp:coreProperties>
</file>