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BCD" w:rsidRDefault="00CE6BCD" w:rsidP="003D6192">
      <w:pPr>
        <w:pStyle w:val="BillDots0"/>
        <w:tabs>
          <w:tab w:val="clear" w:pos="216"/>
          <w:tab w:val="clear" w:pos="432"/>
          <w:tab w:val="clear" w:pos="648"/>
          <w:tab w:val="clear" w:pos="864"/>
          <w:tab w:val="clear" w:pos="1080"/>
          <w:tab w:val="clear" w:pos="1296"/>
          <w:tab w:val="clear" w:pos="5904"/>
          <w:tab w:val="right" w:pos="5933"/>
        </w:tabs>
      </w:pPr>
      <w:r>
        <w:t>AMENDED</w:t>
      </w:r>
    </w:p>
    <w:p w:rsidR="00CE6BCD" w:rsidRDefault="00CE6BCD" w:rsidP="003D6192">
      <w:pPr>
        <w:pStyle w:val="BillDots0"/>
        <w:tabs>
          <w:tab w:val="clear" w:pos="216"/>
          <w:tab w:val="clear" w:pos="432"/>
          <w:tab w:val="clear" w:pos="648"/>
          <w:tab w:val="clear" w:pos="864"/>
          <w:tab w:val="clear" w:pos="1080"/>
          <w:tab w:val="clear" w:pos="1296"/>
          <w:tab w:val="clear" w:pos="5904"/>
          <w:tab w:val="right" w:pos="5933"/>
        </w:tabs>
      </w:pPr>
      <w:r>
        <w:t>March 12, 2013</w:t>
      </w:r>
    </w:p>
    <w:p w:rsidR="00CE6BCD" w:rsidRDefault="00CE6BCD" w:rsidP="003D6192">
      <w:pPr>
        <w:pStyle w:val="BillDots0"/>
        <w:tabs>
          <w:tab w:val="clear" w:pos="216"/>
          <w:tab w:val="clear" w:pos="432"/>
          <w:tab w:val="clear" w:pos="648"/>
          <w:tab w:val="clear" w:pos="864"/>
          <w:tab w:val="clear" w:pos="1080"/>
          <w:tab w:val="clear" w:pos="1296"/>
          <w:tab w:val="clear" w:pos="5904"/>
          <w:tab w:val="right" w:pos="5933"/>
        </w:tabs>
      </w:pPr>
    </w:p>
    <w:p w:rsidR="003D6192" w:rsidRPr="003D6192" w:rsidRDefault="003D6192" w:rsidP="003D6192">
      <w:pPr>
        <w:pStyle w:val="BillDots0"/>
        <w:tabs>
          <w:tab w:val="clear" w:pos="216"/>
          <w:tab w:val="clear" w:pos="432"/>
          <w:tab w:val="clear" w:pos="648"/>
          <w:tab w:val="clear" w:pos="864"/>
          <w:tab w:val="clear" w:pos="1080"/>
          <w:tab w:val="clear" w:pos="1296"/>
          <w:tab w:val="clear" w:pos="5904"/>
          <w:tab w:val="right" w:pos="5933"/>
        </w:tabs>
      </w:pPr>
      <w:r>
        <w:tab/>
      </w:r>
      <w:r>
        <w:rPr>
          <w:b/>
          <w:sz w:val="36"/>
        </w:rPr>
        <w:t>S. 262</w:t>
      </w:r>
    </w:p>
    <w:p w:rsidR="003D6192" w:rsidRDefault="003D6192" w:rsidP="002F2638">
      <w:pPr>
        <w:pStyle w:val="BillDots0"/>
      </w:pPr>
    </w:p>
    <w:p w:rsidR="003D6192" w:rsidRDefault="003D6192" w:rsidP="003D6192">
      <w:pPr>
        <w:pStyle w:val="BillDots0"/>
        <w:jc w:val="center"/>
      </w:pPr>
      <w:r>
        <w:t>Introduced by Senators Leatherman, Setzler and Ford</w:t>
      </w:r>
    </w:p>
    <w:p w:rsidR="003D6192" w:rsidRDefault="003D6192" w:rsidP="002F2638">
      <w:pPr>
        <w:pStyle w:val="BillDots0"/>
      </w:pPr>
    </w:p>
    <w:p w:rsidR="00F557DE" w:rsidRDefault="00F557DE" w:rsidP="000B1D26">
      <w:pPr>
        <w:pStyle w:val="BillDots0"/>
        <w:tabs>
          <w:tab w:val="clear" w:pos="216"/>
          <w:tab w:val="clear" w:pos="432"/>
          <w:tab w:val="clear" w:pos="648"/>
          <w:tab w:val="clear" w:pos="864"/>
          <w:tab w:val="clear" w:pos="1080"/>
          <w:tab w:val="clear" w:pos="1296"/>
          <w:tab w:val="clear" w:pos="5904"/>
          <w:tab w:val="right" w:pos="5933"/>
        </w:tabs>
      </w:pPr>
      <w:r>
        <w:t xml:space="preserve">S. Printed </w:t>
      </w:r>
      <w:r w:rsidR="00CE6BCD">
        <w:t>3/12</w:t>
      </w:r>
      <w:r w:rsidR="003D6192">
        <w:t>/13--S.</w:t>
      </w:r>
    </w:p>
    <w:p w:rsidR="003D6192" w:rsidRDefault="003D6192" w:rsidP="00F557DE">
      <w:pPr>
        <w:pStyle w:val="BillDots0"/>
        <w:tabs>
          <w:tab w:val="clear" w:pos="216"/>
          <w:tab w:val="clear" w:pos="432"/>
          <w:tab w:val="clear" w:pos="648"/>
          <w:tab w:val="clear" w:pos="864"/>
          <w:tab w:val="clear" w:pos="1080"/>
          <w:tab w:val="clear" w:pos="1296"/>
          <w:tab w:val="clear" w:pos="5904"/>
          <w:tab w:val="right" w:pos="5933"/>
        </w:tabs>
      </w:pPr>
      <w:r>
        <w:t>Read the first time January 17, 2013.</w:t>
      </w:r>
    </w:p>
    <w:p w:rsidR="003D6192" w:rsidRPr="003D6192" w:rsidRDefault="003D6192" w:rsidP="003D6192">
      <w:pPr>
        <w:pStyle w:val="BillDots0"/>
        <w:jc w:val="center"/>
      </w:pPr>
      <w:r>
        <w:rPr>
          <w:u w:val="single"/>
        </w:rPr>
        <w:t>            </w:t>
      </w:r>
    </w:p>
    <w:p w:rsidR="003D6192" w:rsidRDefault="003D6192" w:rsidP="002F2638">
      <w:pPr>
        <w:pStyle w:val="BillDots0"/>
        <w:sectPr w:rsidR="003D6192" w:rsidSect="003D61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2638" w:rsidRDefault="002F2638" w:rsidP="002F2638">
      <w:pPr>
        <w:pStyle w:val="BillDots0"/>
      </w:pPr>
    </w:p>
    <w:p w:rsidR="002F2638" w:rsidRDefault="002F2638" w:rsidP="002F2638">
      <w:pPr>
        <w:pStyle w:val="Numbersforbill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0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403C4">
        <w:rPr>
          <w:color w:val="000000" w:themeColor="text1"/>
          <w:u w:color="000000" w:themeColor="text1"/>
        </w:rPr>
        <w:t>TO AMEND THE CODE OF LAWS OF SOUTH CAROLINA, 1976, BY ADDING CHAPTER 44 TO TITLE 11 SO AS TO ENACT THE “</w:t>
      </w:r>
      <w:r w:rsidR="0065577C">
        <w:rPr>
          <w:color w:val="000000" w:themeColor="text1"/>
          <w:u w:color="000000" w:themeColor="text1"/>
        </w:rPr>
        <w:t>HIGH GROWTH SMALL BUSINESS JOB CREATION ACT OF 2013</w:t>
      </w:r>
      <w:r w:rsidRPr="004403C4">
        <w:rPr>
          <w:color w:val="000000" w:themeColor="text1"/>
          <w:u w:color="000000" w:themeColor="text1"/>
        </w:rPr>
        <w:t>” BY PROVIDING FOR STATE NONREFUNDABLE INCOME TAX CREDITS FOR QUALIFIED INVESTMENTS IN BUSINESSES MEETING CERTAIN CRITERIA AND PRIMARILY ENGAGED IN MANUFACTURING, PROCESSING, WAREHOUSING, WHOLESALING, SOFTWARE DEVELOPMENT, INFORMATION TECHNOLOGY SERVICES, RESEARCH AND DEVELOPMENT</w:t>
      </w:r>
      <w:r w:rsidR="00462EB3">
        <w:rPr>
          <w:color w:val="000000" w:themeColor="text1"/>
          <w:u w:color="000000" w:themeColor="text1"/>
        </w:rPr>
        <w:t>,</w:t>
      </w:r>
      <w:r w:rsidRPr="004403C4">
        <w:rPr>
          <w:color w:val="000000" w:themeColor="text1"/>
          <w:u w:color="000000" w:themeColor="text1"/>
        </w:rPr>
        <w:t xml:space="preserve"> OR OTHER NONPROHIBITED SERVICES, TO ESTABLISH THE CRITERIA AND PROCEDURES FOR THE CREDIT, AND TO MAKE THE CREDIT TRANSFERABLE.</w:t>
      </w:r>
    </w:p>
    <w:p w:rsidR="00F557DE" w:rsidRDefault="00F557DE"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1.</w:t>
      </w:r>
      <w:r w:rsidRPr="000C3A71">
        <w:rPr>
          <w:color w:val="000000" w:themeColor="text1"/>
          <w:u w:color="000000" w:themeColor="text1"/>
        </w:rPr>
        <w:tab/>
        <w:t>A.</w:t>
      </w:r>
      <w:r w:rsidRPr="000C3A71">
        <w:rPr>
          <w:color w:val="000000" w:themeColor="text1"/>
          <w:u w:color="000000" w:themeColor="text1"/>
        </w:rPr>
        <w:tab/>
      </w:r>
      <w:r w:rsidRPr="000C3A71">
        <w:rPr>
          <w:color w:val="000000" w:themeColor="text1"/>
          <w:u w:color="000000" w:themeColor="text1"/>
        </w:rPr>
        <w:tab/>
        <w:t>Title 11 of the 1976 Code is amended by adding:</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3A71">
        <w:rPr>
          <w:color w:val="000000" w:themeColor="text1"/>
          <w:u w:color="000000" w:themeColor="text1"/>
        </w:rPr>
        <w:tab/>
        <w:t>“CHAPTER 44</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3A71">
        <w:rPr>
          <w:color w:val="000000" w:themeColor="text1"/>
          <w:u w:color="000000" w:themeColor="text1"/>
        </w:rPr>
        <w:tab/>
        <w:t>High Growth Small Business Job Creation Act</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10.</w:t>
      </w:r>
      <w:r w:rsidRPr="000C3A71">
        <w:rPr>
          <w:color w:val="000000" w:themeColor="text1"/>
          <w:u w:color="000000" w:themeColor="text1"/>
        </w:rPr>
        <w:tab/>
        <w:t>This chapter may be cited as the ‘High Growth Small Business Job Creation Act of 2013’.</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20.</w:t>
      </w:r>
      <w:r w:rsidRPr="000C3A71">
        <w:rPr>
          <w:color w:val="000000" w:themeColor="text1"/>
          <w:u w:color="000000" w:themeColor="text1"/>
        </w:rPr>
        <w:tab/>
        <w:t>The General Assembly desires to support the economic development goals of this State by improving the availability of early stage capital for emerging high</w:t>
      </w:r>
      <w:r w:rsidRPr="000C3A71">
        <w:rPr>
          <w:color w:val="000000" w:themeColor="text1"/>
          <w:u w:color="000000" w:themeColor="text1"/>
        </w:rPr>
        <w:noBreakHyphen/>
        <w:t xml:space="preserve">growth </w:t>
      </w:r>
      <w:r w:rsidRPr="000C3A71">
        <w:rPr>
          <w:color w:val="000000" w:themeColor="text1"/>
          <w:u w:color="000000" w:themeColor="text1"/>
        </w:rPr>
        <w:lastRenderedPageBreak/>
        <w:t>enterprises in South Carolina.  To further these goals, this chapter is intended to:</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encourage individual angel investors to invest in early stage, high</w:t>
      </w:r>
      <w:r w:rsidRPr="000C3A71">
        <w:rPr>
          <w:color w:val="000000" w:themeColor="text1"/>
          <w:u w:color="000000" w:themeColor="text1"/>
        </w:rPr>
        <w:noBreakHyphen/>
        <w:t>growth, job</w:t>
      </w:r>
      <w:r w:rsidRPr="000C3A71">
        <w:rPr>
          <w:color w:val="000000" w:themeColor="text1"/>
          <w:u w:color="000000" w:themeColor="text1"/>
        </w:rPr>
        <w:noBreakHyphen/>
        <w:t>creating businesses;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enlarge the number of high quality, high paying jobs within the State;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expand the economy of this State by enlarging its base of wealth</w:t>
      </w:r>
      <w:r w:rsidRPr="000C3A71">
        <w:rPr>
          <w:color w:val="000000" w:themeColor="text1"/>
          <w:u w:color="000000" w:themeColor="text1"/>
        </w:rPr>
        <w:noBreakHyphen/>
        <w:t>creating businesses; and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 xml:space="preserve">support businesses seeking to commercialize technology invented in this </w:t>
      </w:r>
      <w:r w:rsidR="00804192">
        <w:rPr>
          <w:color w:val="000000" w:themeColor="text1"/>
          <w:u w:color="000000" w:themeColor="text1"/>
        </w:rPr>
        <w:t>s</w:t>
      </w:r>
      <w:r w:rsidRPr="000C3A71">
        <w:rPr>
          <w:color w:val="000000" w:themeColor="text1"/>
          <w:u w:color="000000" w:themeColor="text1"/>
        </w:rPr>
        <w:t>tate’s institutions of higher education.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30.</w:t>
      </w:r>
      <w:r w:rsidRPr="000C3A71">
        <w:rPr>
          <w:color w:val="000000" w:themeColor="text1"/>
          <w:u w:color="000000" w:themeColor="text1"/>
        </w:rPr>
        <w:tab/>
      </w:r>
      <w:r w:rsidRPr="000C3A71">
        <w:rPr>
          <w:color w:val="000000" w:themeColor="text1"/>
          <w:u w:color="000000" w:themeColor="text1"/>
        </w:rPr>
        <w:tab/>
        <w:t>For purposes of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‘Angel investor’ means an accredited investor as defined by the United States Securities and Exchange Commission, who is: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 xml:space="preserve">(a) </w:t>
      </w:r>
      <w:r w:rsidRPr="000C3A71">
        <w:rPr>
          <w:color w:val="000000" w:themeColor="text1"/>
          <w:u w:color="000000" w:themeColor="text1"/>
        </w:rPr>
        <w:tab/>
        <w:t xml:space="preserve">an individual person who is a resident of this State or a nonresident who is </w:t>
      </w:r>
      <w:r>
        <w:rPr>
          <w:color w:val="000000" w:themeColor="text1"/>
          <w:u w:color="000000" w:themeColor="text1"/>
        </w:rPr>
        <w:t>subject to taxes imposed by Chapter 6, Title 12;</w:t>
      </w:r>
      <w:r w:rsidRPr="000C3A71">
        <w:rPr>
          <w:color w:val="000000" w:themeColor="text1"/>
          <w:u w:color="000000" w:themeColor="text1"/>
        </w:rPr>
        <w:t xml:space="preserve"> or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(b)</w:t>
      </w:r>
      <w:r w:rsidRPr="000C3A71">
        <w:rPr>
          <w:color w:val="000000" w:themeColor="text1"/>
          <w:u w:color="000000" w:themeColor="text1"/>
        </w:rPr>
        <w:tab/>
      </w:r>
      <w:r w:rsidRPr="004403C4">
        <w:rPr>
          <w:color w:val="000000" w:themeColor="text1"/>
          <w:u w:color="000000" w:themeColor="text1"/>
        </w:rPr>
        <w:t>a pass</w:t>
      </w:r>
      <w:r>
        <w:rPr>
          <w:color w:val="000000" w:themeColor="text1"/>
          <w:u w:color="000000" w:themeColor="text1"/>
        </w:rPr>
        <w:noBreakHyphen/>
      </w:r>
      <w:r w:rsidRPr="004403C4">
        <w:rPr>
          <w:color w:val="000000" w:themeColor="text1"/>
          <w:u w:color="000000" w:themeColor="text1"/>
        </w:rPr>
        <w:t>throug</w:t>
      </w:r>
      <w:bookmarkStart w:id="4" w:name="temp"/>
      <w:bookmarkEnd w:id="4"/>
      <w:r w:rsidRPr="004403C4">
        <w:rPr>
          <w:color w:val="000000" w:themeColor="text1"/>
          <w:u w:color="000000" w:themeColor="text1"/>
        </w:rPr>
        <w:t>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‘Headquarters’ means the facility or portion of a facility where corporate staff employees are physically employed, and where the majority of the company’s or company business unit’s financial, personnel, legal, planning, information technology, or other headquarters</w:t>
      </w:r>
      <w:r w:rsidRPr="000C3A71">
        <w:rPr>
          <w:color w:val="000000" w:themeColor="text1"/>
          <w:u w:color="000000" w:themeColor="text1"/>
        </w:rPr>
        <w:noBreakHyphen/>
        <w:t>related functions are handled.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 xml:space="preserve">‘Net </w:t>
      </w:r>
      <w:r>
        <w:rPr>
          <w:color w:val="000000" w:themeColor="text1"/>
          <w:u w:color="000000" w:themeColor="text1"/>
        </w:rPr>
        <w:t xml:space="preserve">income </w:t>
      </w:r>
      <w:r w:rsidRPr="000C3A71">
        <w:rPr>
          <w:color w:val="000000" w:themeColor="text1"/>
          <w:u w:color="000000" w:themeColor="text1"/>
        </w:rPr>
        <w:t xml:space="preserve">tax liability’ means South Carolina state </w:t>
      </w:r>
      <w:r>
        <w:rPr>
          <w:color w:val="000000" w:themeColor="text1"/>
          <w:u w:color="000000" w:themeColor="text1"/>
        </w:rPr>
        <w:t xml:space="preserve">income </w:t>
      </w:r>
      <w:r w:rsidRPr="000C3A71">
        <w:rPr>
          <w:color w:val="000000" w:themeColor="text1"/>
          <w:u w:color="000000" w:themeColor="text1"/>
        </w:rPr>
        <w:t>tax liability reduced by all other credits allowed under Titles 11, 12, and 48.</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‘Pass</w:t>
      </w:r>
      <w:r w:rsidRPr="000C3A71">
        <w:rPr>
          <w:color w:val="000000" w:themeColor="text1"/>
          <w:u w:color="000000" w:themeColor="text1"/>
        </w:rPr>
        <w:noBreakHyphen/>
        <w:t>through entity’ means a partnership, an S</w:t>
      </w:r>
      <w:r w:rsidRPr="000C3A71">
        <w:rPr>
          <w:color w:val="000000" w:themeColor="text1"/>
          <w:u w:color="000000" w:themeColor="text1"/>
        </w:rPr>
        <w:noBreakHyphen/>
        <w:t>corporation, or a limited liability company taxed as a partnership.</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(5)</w:t>
      </w:r>
      <w:r w:rsidRPr="000C3A71">
        <w:rPr>
          <w:color w:val="000000" w:themeColor="text1"/>
          <w:u w:color="000000" w:themeColor="text1"/>
        </w:rPr>
        <w:tab/>
        <w:t>‘Qualified business’ means a registered business that:</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(a)</w:t>
      </w:r>
      <w:r w:rsidRPr="000C3A71">
        <w:rPr>
          <w:color w:val="000000" w:themeColor="text1"/>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lastRenderedPageBreak/>
        <w:tab/>
      </w:r>
      <w:r w:rsidRPr="000C3A71">
        <w:rPr>
          <w:color w:val="000000" w:themeColor="text1"/>
          <w:u w:color="000000" w:themeColor="text1"/>
        </w:rPr>
        <w:tab/>
        <w:t>(b)</w:t>
      </w:r>
      <w:r w:rsidRPr="000C3A71">
        <w:rPr>
          <w:color w:val="000000" w:themeColor="text1"/>
          <w:u w:color="000000" w:themeColor="text1"/>
        </w:rPr>
        <w:tab/>
        <w:t>was organized no more than five years before the qualified investment was made;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(c)</w:t>
      </w:r>
      <w:r w:rsidRPr="000C3A71">
        <w:rPr>
          <w:color w:val="000000" w:themeColor="text1"/>
          <w:u w:color="000000" w:themeColor="text1"/>
        </w:rPr>
        <w:tab/>
        <w:t>employs twenty</w:t>
      </w:r>
      <w:r w:rsidRPr="000C3A71">
        <w:rPr>
          <w:color w:val="000000" w:themeColor="text1"/>
          <w:u w:color="000000" w:themeColor="text1"/>
        </w:rPr>
        <w:noBreakHyphen/>
        <w:t>five or fewer people in this State at the time it is registered as a qualified business;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(d)</w:t>
      </w:r>
      <w:r w:rsidRPr="000C3A71">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(e)</w:t>
      </w:r>
      <w:r w:rsidRPr="000C3A71">
        <w:rPr>
          <w:color w:val="000000" w:themeColor="text1"/>
          <w:u w:color="000000" w:themeColor="text1"/>
        </w:rPr>
        <w:tab/>
        <w:t>is primarily engaged in manufacturing, processing, warehousing, wholesaling, software development, information technology services, research and development, or a business providing services set forth in Section 12</w:t>
      </w:r>
      <w:r w:rsidRPr="000C3A71">
        <w:rPr>
          <w:color w:val="000000" w:themeColor="text1"/>
          <w:u w:color="000000" w:themeColor="text1"/>
        </w:rPr>
        <w:noBreakHyphen/>
        <w:t>6</w:t>
      </w:r>
      <w:r w:rsidRPr="000C3A71">
        <w:rPr>
          <w:color w:val="000000" w:themeColor="text1"/>
          <w:u w:color="000000" w:themeColor="text1"/>
        </w:rPr>
        <w:noBreakHyphen/>
        <w:t>3360(M)(13), other than those described in subitem (f); and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(f)</w:t>
      </w:r>
      <w:r w:rsidRPr="000C3A71">
        <w:rPr>
          <w:color w:val="000000" w:themeColor="text1"/>
          <w:u w:color="000000" w:themeColor="text1"/>
        </w:rPr>
        <w:tab/>
        <w:t>does not engage substantially in: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w:t>
      </w:r>
      <w:r w:rsidR="00804192">
        <w:rPr>
          <w:color w:val="000000" w:themeColor="text1"/>
          <w:u w:color="000000" w:themeColor="text1"/>
        </w:rPr>
        <w:tab/>
      </w:r>
      <w:r w:rsidRPr="000C3A71">
        <w:rPr>
          <w:color w:val="000000" w:themeColor="text1"/>
          <w:u w:color="000000" w:themeColor="text1"/>
        </w:rPr>
        <w:tab/>
        <w:t>retail sales;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(ii)</w:t>
      </w:r>
      <w:r w:rsidRPr="000C3A71">
        <w:rPr>
          <w:color w:val="000000" w:themeColor="text1"/>
          <w:u w:color="000000" w:themeColor="text1"/>
        </w:rPr>
        <w:tab/>
        <w:t>real estate or construction;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(iii)</w:t>
      </w:r>
      <w:r w:rsidRPr="000C3A71">
        <w:rPr>
          <w:color w:val="000000" w:themeColor="text1"/>
          <w:u w:color="000000" w:themeColor="text1"/>
        </w:rPr>
        <w:tab/>
        <w:t>professional services;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(iv)</w:t>
      </w:r>
      <w:r w:rsidRPr="000C3A71">
        <w:rPr>
          <w:color w:val="000000" w:themeColor="text1"/>
          <w:u w:color="000000" w:themeColor="text1"/>
        </w:rPr>
        <w:tab/>
        <w:t>gambling;</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w:t>
      </w:r>
      <w:r w:rsidRPr="000C3A71">
        <w:rPr>
          <w:color w:val="000000" w:themeColor="text1"/>
          <w:u w:color="000000" w:themeColor="text1"/>
        </w:rPr>
        <w:tab/>
        <w:t>natural resource extraction;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(vi)</w:t>
      </w:r>
      <w:r w:rsidRPr="000C3A71">
        <w:rPr>
          <w:color w:val="000000" w:themeColor="text1"/>
          <w:u w:color="000000" w:themeColor="text1"/>
        </w:rPr>
        <w:tab/>
        <w:t>financial brokerage, investment activities, or insurance;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(vii)</w:t>
      </w:r>
      <w:r w:rsidRPr="000C3A71">
        <w:rPr>
          <w:color w:val="000000" w:themeColor="text1"/>
          <w:u w:color="000000" w:themeColor="text1"/>
        </w:rPr>
        <w:tab/>
        <w:t>entertainment, amusement, recreation, or athletic or fitness activity for which an admission or fee is charged.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A business is substantially engaged in one of the activities defined in subitem (f) if its gross revenue from an activity exceeds twenty</w:t>
      </w:r>
      <w:r w:rsidRPr="000C3A71">
        <w:rPr>
          <w:color w:val="000000" w:themeColor="text1"/>
          <w:u w:color="000000" w:themeColor="text1"/>
        </w:rP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(6)</w:t>
      </w:r>
      <w:r w:rsidRPr="000C3A71">
        <w:rPr>
          <w:color w:val="000000" w:themeColor="text1"/>
          <w:u w:color="000000" w:themeColor="text1"/>
        </w:rPr>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(7)</w:t>
      </w:r>
      <w:r w:rsidRPr="000C3A71">
        <w:rPr>
          <w:color w:val="000000" w:themeColor="text1"/>
          <w:u w:color="000000" w:themeColor="text1"/>
        </w:rPr>
        <w:tab/>
        <w:t xml:space="preserve">‘Registered’ or ‘registration’ means that a business has been certified by the </w:t>
      </w:r>
      <w:r w:rsidR="00804192">
        <w:rPr>
          <w:color w:val="000000" w:themeColor="text1"/>
          <w:u w:color="000000" w:themeColor="text1"/>
        </w:rPr>
        <w:t>s</w:t>
      </w:r>
      <w:r w:rsidRPr="000C3A71">
        <w:rPr>
          <w:color w:val="000000" w:themeColor="text1"/>
          <w:u w:color="000000" w:themeColor="text1"/>
        </w:rPr>
        <w:t xml:space="preserve">ecretary as a qualified business at the time of application to the </w:t>
      </w:r>
      <w:r w:rsidR="00804192">
        <w:rPr>
          <w:color w:val="000000" w:themeColor="text1"/>
          <w:u w:color="000000" w:themeColor="text1"/>
        </w:rPr>
        <w:t>s</w:t>
      </w:r>
      <w:r w:rsidRPr="000C3A71">
        <w:rPr>
          <w:color w:val="000000" w:themeColor="text1"/>
          <w:u w:color="000000" w:themeColor="text1"/>
        </w:rPr>
        <w:t>ecretary.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(8)</w:t>
      </w:r>
      <w:r w:rsidRPr="000C3A71">
        <w:rPr>
          <w:color w:val="000000" w:themeColor="text1"/>
          <w:u w:color="000000" w:themeColor="text1"/>
        </w:rPr>
        <w:tab/>
        <w:t>‘Secretary’ means the Secretary of State.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lastRenderedPageBreak/>
        <w:tab/>
        <w:t>Section 11</w:t>
      </w:r>
      <w:r w:rsidRPr="000C3A71">
        <w:rPr>
          <w:color w:val="000000" w:themeColor="text1"/>
          <w:u w:color="000000" w:themeColor="text1"/>
        </w:rPr>
        <w:noBreakHyphen/>
        <w:t>44</w:t>
      </w:r>
      <w:r w:rsidRPr="000C3A71">
        <w:rPr>
          <w:color w:val="000000" w:themeColor="text1"/>
          <w:u w:color="000000" w:themeColor="text1"/>
        </w:rPr>
        <w:noBreakHyphen/>
        <w:t>40.</w:t>
      </w:r>
      <w:r w:rsidRPr="000C3A71">
        <w:rPr>
          <w:color w:val="000000" w:themeColor="text1"/>
          <w:u w:color="000000" w:themeColor="text1"/>
        </w:rPr>
        <w:tab/>
        <w:t>(A)</w:t>
      </w:r>
      <w:r w:rsidRPr="000C3A71">
        <w:rPr>
          <w:color w:val="000000" w:themeColor="text1"/>
          <w:u w:color="000000" w:themeColor="text1"/>
        </w:rPr>
        <w:tab/>
        <w:t xml:space="preserve">An angel investor is entitled to a nonrefundable </w:t>
      </w:r>
      <w:r>
        <w:rPr>
          <w:color w:val="000000" w:themeColor="text1"/>
          <w:u w:color="000000" w:themeColor="text1"/>
        </w:rPr>
        <w:t xml:space="preserve">income </w:t>
      </w:r>
      <w:r w:rsidRPr="000C3A71">
        <w:rPr>
          <w:color w:val="000000" w:themeColor="text1"/>
          <w:u w:color="000000" w:themeColor="text1"/>
        </w:rPr>
        <w:t>tax credit of thirty</w:t>
      </w:r>
      <w:r w:rsidRPr="000C3A71">
        <w:rPr>
          <w:color w:val="000000" w:themeColor="text1"/>
          <w:u w:color="000000" w:themeColor="text1"/>
        </w:rPr>
        <w:noBreakHyphen/>
        <w:t>five percent of its qualified investment</w:t>
      </w:r>
      <w:r>
        <w:rPr>
          <w:color w:val="000000" w:themeColor="text1"/>
          <w:u w:color="000000" w:themeColor="text1"/>
        </w:rPr>
        <w:t xml:space="preserve"> made pursuant to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Fifty percent of the allowed credit may be applied to the angel investor’s net</w:t>
      </w:r>
      <w:r>
        <w:rPr>
          <w:color w:val="000000" w:themeColor="text1"/>
          <w:u w:color="000000" w:themeColor="text1"/>
        </w:rPr>
        <w:t xml:space="preserve"> income</w:t>
      </w:r>
      <w:r w:rsidRPr="000C3A71">
        <w:rPr>
          <w:color w:val="000000" w:themeColor="text1"/>
          <w:u w:color="000000" w:themeColor="text1"/>
        </w:rPr>
        <w:t xml:space="preserve"> tax liability in the tax year during which the qualified investment is made, and fifty percent of the allowed credit may be applied to the angel investor’s net</w:t>
      </w:r>
      <w:r>
        <w:rPr>
          <w:color w:val="000000" w:themeColor="text1"/>
          <w:u w:color="000000" w:themeColor="text1"/>
        </w:rPr>
        <w:t xml:space="preserve"> income</w:t>
      </w:r>
      <w:r w:rsidRPr="000C3A71">
        <w:rPr>
          <w:color w:val="000000" w:themeColor="text1"/>
          <w:u w:color="000000" w:themeColor="text1"/>
        </w:rPr>
        <w:t xml:space="preserve"> tax liability in the tax years after the qualified investment is made and may be carried forward for a period not to exceed ten years for these purposes as provided in Section 11</w:t>
      </w:r>
      <w:r w:rsidRPr="000C3A71">
        <w:rPr>
          <w:color w:val="000000" w:themeColor="text1"/>
          <w:u w:color="000000" w:themeColor="text1"/>
        </w:rPr>
        <w:noBreakHyphen/>
        <w:t>44</w:t>
      </w:r>
      <w:r w:rsidRPr="000C3A71">
        <w:rPr>
          <w:color w:val="000000" w:themeColor="text1"/>
          <w:u w:color="000000" w:themeColor="text1"/>
        </w:rPr>
        <w:noBreakHyphen/>
        <w:t>50.</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For any pass</w:t>
      </w:r>
      <w:r w:rsidRPr="000C3A71">
        <w:rPr>
          <w:color w:val="000000" w:themeColor="text1"/>
          <w:u w:color="000000" w:themeColor="text1"/>
        </w:rPr>
        <w:noBreakHyphen/>
        <w:t>through entity making a qualified investment directly in a qualified business, each individual who is a shareholder, partner, or member of the entity must be allocated the credit allowed the pass</w:t>
      </w:r>
      <w:r w:rsidRPr="000C3A71">
        <w:rPr>
          <w:color w:val="000000" w:themeColor="text1"/>
          <w:u w:color="000000" w:themeColor="text1"/>
        </w:rPr>
        <w:noBreakHyphen/>
        <w:t>through entity in an amount determined in the same manner as the proportionate shares of income or loss of such pass</w:t>
      </w:r>
      <w:r w:rsidRPr="000C3A71">
        <w:rPr>
          <w:color w:val="000000" w:themeColor="text1"/>
          <w:u w:color="000000" w:themeColor="text1"/>
        </w:rPr>
        <w:noBreakHyphen/>
        <w:t>through entity would be determined.  The pass</w:t>
      </w:r>
      <w:r w:rsidRPr="000C3A71">
        <w:rPr>
          <w:color w:val="000000" w:themeColor="text1"/>
          <w:u w:color="000000" w:themeColor="text1"/>
        </w:rPr>
        <w:noBreakHyphen/>
        <w:t>through entity must make an irrevocable election with the Department of Revenue as to the manner in which the credit i</w:t>
      </w:r>
      <w:r w:rsidR="00804192">
        <w:rPr>
          <w:color w:val="000000" w:themeColor="text1"/>
          <w:u w:color="000000" w:themeColor="text1"/>
        </w:rPr>
        <w:t>s allocated.  If an individual’s</w:t>
      </w:r>
      <w:r w:rsidRPr="000C3A71">
        <w:rPr>
          <w:color w:val="000000" w:themeColor="text1"/>
          <w:u w:color="000000" w:themeColor="text1"/>
        </w:rPr>
        <w:t xml:space="preserve"> share of the pass</w:t>
      </w:r>
      <w:r w:rsidRPr="000C3A71">
        <w:rPr>
          <w:color w:val="000000" w:themeColor="text1"/>
          <w:u w:color="000000" w:themeColor="text1"/>
        </w:rPr>
        <w:noBreakHyphen/>
        <w:t>through entity’s credit is limited due to the maximum allowable credit under this chapter for a taxable year, the pass</w:t>
      </w:r>
      <w:r w:rsidRPr="000C3A71">
        <w:rPr>
          <w:color w:val="000000" w:themeColor="text1"/>
          <w:u w:color="000000" w:themeColor="text1"/>
        </w:rPr>
        <w:noBreakHyphen/>
        <w:t>through entity and its owners may not reallocate the unused credit among the other owners.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50.</w:t>
      </w:r>
      <w:r w:rsidRPr="000C3A71">
        <w:rPr>
          <w:color w:val="000000" w:themeColor="text1"/>
          <w:u w:color="000000" w:themeColor="text1"/>
        </w:rPr>
        <w:tab/>
        <w:t>Tax credits claimed pursuant to this chapter are subject to the following conditions and limitations: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the total amount of credits allowed pursuant to this chapter may not exceed in the aggregate five million dollars for all taxpayers for any one calendar year;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the aggregate amount of credit allowed an individual for one or more qualified investments in a single taxable year under this chapter, whether made directly or by a pass</w:t>
      </w:r>
      <w:r w:rsidRPr="000C3A71">
        <w:rPr>
          <w:color w:val="000000" w:themeColor="text1"/>
          <w:u w:color="000000" w:themeColor="text1"/>
        </w:rPr>
        <w:noBreakHyphen/>
        <w:t>through entity and allocated to an individual, shall not exceed one hundred thousand dollars each year, not including any carry forward credits;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 xml:space="preserve">the amount of the tax credit allowed an individual under this chapter for a taxable year shall not exceed an individual’s net </w:t>
      </w:r>
      <w:r>
        <w:rPr>
          <w:color w:val="000000" w:themeColor="text1"/>
          <w:u w:color="000000" w:themeColor="text1"/>
        </w:rPr>
        <w:t xml:space="preserve">income </w:t>
      </w:r>
      <w:r w:rsidRPr="000C3A71">
        <w:rPr>
          <w:color w:val="000000" w:themeColor="text1"/>
          <w:u w:color="000000" w:themeColor="text1"/>
        </w:rPr>
        <w:t>tax liability.  An unused credit amount is allowed to be carried forward for ten years from the close of the taxable year in which the qualified investment was made.  Credit is not allowed against prior years’ tax liability;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 xml:space="preserve">the credit is transferrable by the angel investor to his heirs and legatees upon his or her death and to his or her spouse or incident to divorce; </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lastRenderedPageBreak/>
        <w:tab/>
        <w:t>(5)</w:t>
      </w:r>
      <w:r w:rsidRPr="000C3A71">
        <w:rPr>
          <w:color w:val="000000" w:themeColor="text1"/>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(6)</w:t>
      </w:r>
      <w:r w:rsidRPr="000C3A71">
        <w:rPr>
          <w:color w:val="000000" w:themeColor="text1"/>
          <w:u w:color="000000" w:themeColor="text1"/>
        </w:rPr>
        <w:tab/>
        <w:t>the Department of Revenue may develop procedures for the transfer of the credits.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60.</w:t>
      </w:r>
      <w:r w:rsidRPr="000C3A71">
        <w:rPr>
          <w:color w:val="000000" w:themeColor="text1"/>
          <w:u w:color="000000" w:themeColor="text1"/>
        </w:rPr>
        <w:tab/>
        <w:t>(A)</w:t>
      </w:r>
      <w:r w:rsidRPr="000C3A71">
        <w:rPr>
          <w:color w:val="000000" w:themeColor="text1"/>
          <w:u w:color="000000" w:themeColor="text1"/>
        </w:rPr>
        <w:tab/>
        <w:t xml:space="preserve">A qualified business shall register with the </w:t>
      </w:r>
      <w:r w:rsidR="00804192">
        <w:rPr>
          <w:color w:val="000000" w:themeColor="text1"/>
          <w:u w:color="000000" w:themeColor="text1"/>
        </w:rPr>
        <w:t>s</w:t>
      </w:r>
      <w:r w:rsidRPr="000C3A71">
        <w:rPr>
          <w:color w:val="000000" w:themeColor="text1"/>
          <w:u w:color="000000" w:themeColor="text1"/>
        </w:rPr>
        <w:t xml:space="preserve">ecretary for purposes of this chapter.  Approval of this registration constitutes certification by the Secretary for twelve months after being issued.  A business is permitted to renew its registration with the </w:t>
      </w:r>
      <w:r w:rsidR="00804192">
        <w:rPr>
          <w:color w:val="000000" w:themeColor="text1"/>
          <w:u w:color="000000" w:themeColor="text1"/>
        </w:rPr>
        <w:t>s</w:t>
      </w:r>
      <w:r w:rsidRPr="000C3A71">
        <w:rPr>
          <w:color w:val="000000" w:themeColor="text1"/>
          <w:u w:color="000000" w:themeColor="text1"/>
        </w:rPr>
        <w:t xml:space="preserve">ecretary so long as, at the time of renewal, the business remains a qualified business.  </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 xml:space="preserve">If the </w:t>
      </w:r>
      <w:r w:rsidR="00804192">
        <w:rPr>
          <w:color w:val="000000" w:themeColor="text1"/>
          <w:u w:color="000000" w:themeColor="text1"/>
        </w:rPr>
        <w:t>s</w:t>
      </w:r>
      <w:r w:rsidRPr="000C3A71">
        <w:rPr>
          <w:color w:val="000000" w:themeColor="text1"/>
          <w:u w:color="000000" w:themeColor="text1"/>
        </w:rPr>
        <w:t xml:space="preserve">ecretary finds that any information contained in an application of a business for registration under this chapter is false, the </w:t>
      </w:r>
      <w:r w:rsidR="00804192">
        <w:rPr>
          <w:color w:val="000000" w:themeColor="text1"/>
          <w:u w:color="000000" w:themeColor="text1"/>
        </w:rPr>
        <w:t>s</w:t>
      </w:r>
      <w:r w:rsidRPr="000C3A71">
        <w:rPr>
          <w:color w:val="000000" w:themeColor="text1"/>
          <w:u w:color="000000" w:themeColor="text1"/>
        </w:rPr>
        <w:t xml:space="preserve">ecretary shall revoke the registration of the business.  The </w:t>
      </w:r>
      <w:r w:rsidR="00804192">
        <w:rPr>
          <w:color w:val="000000" w:themeColor="text1"/>
          <w:u w:color="000000" w:themeColor="text1"/>
        </w:rPr>
        <w:t>s</w:t>
      </w:r>
      <w:r w:rsidRPr="000C3A71">
        <w:rPr>
          <w:color w:val="000000" w:themeColor="text1"/>
          <w:u w:color="000000" w:themeColor="text1"/>
        </w:rPr>
        <w:t>ecretary shall not revoke the registration of a business only because it ceases business operations for an indefinite period of time, as long as the business renews its registration.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0C3A71">
        <w:rPr>
          <w:color w:val="000000" w:themeColor="text1"/>
          <w:u w:color="000000" w:themeColor="text1"/>
        </w:rPr>
        <w:noBreakHyphen/>
        <w:t xml:space="preserve">month registration period without further application to the </w:t>
      </w:r>
      <w:r w:rsidR="00804192">
        <w:rPr>
          <w:color w:val="000000" w:themeColor="text1"/>
          <w:u w:color="000000" w:themeColor="text1"/>
        </w:rPr>
        <w:t>s</w:t>
      </w:r>
      <w:r w:rsidRPr="000C3A71">
        <w:rPr>
          <w:color w:val="000000" w:themeColor="text1"/>
          <w:u w:color="000000" w:themeColor="text1"/>
        </w:rPr>
        <w:t xml:space="preserve">ecretary.  In this case, the qualified business shall provide the </w:t>
      </w:r>
      <w:r w:rsidR="00804192">
        <w:rPr>
          <w:color w:val="000000" w:themeColor="text1"/>
          <w:u w:color="000000" w:themeColor="text1"/>
        </w:rPr>
        <w:t>s</w:t>
      </w:r>
      <w:r w:rsidRPr="000C3A71">
        <w:rPr>
          <w:color w:val="000000" w:themeColor="text1"/>
          <w:u w:color="000000" w:themeColor="text1"/>
        </w:rPr>
        <w:t xml:space="preserve">ecretary with written notice of the merger, conversion, consolidation, or similar transaction and other information as required by the </w:t>
      </w:r>
      <w:r w:rsidR="00804192">
        <w:rPr>
          <w:color w:val="000000" w:themeColor="text1"/>
          <w:u w:color="000000" w:themeColor="text1"/>
        </w:rPr>
        <w:t>s</w:t>
      </w:r>
      <w:r w:rsidRPr="000C3A71">
        <w:rPr>
          <w:color w:val="000000" w:themeColor="text1"/>
          <w:u w:color="000000" w:themeColor="text1"/>
        </w:rPr>
        <w:t>ecretary.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(D)</w:t>
      </w:r>
      <w:r w:rsidRPr="000C3A71">
        <w:rPr>
          <w:color w:val="000000" w:themeColor="text1"/>
          <w:u w:color="000000" w:themeColor="text1"/>
        </w:rPr>
        <w:tab/>
        <w:t xml:space="preserve">The </w:t>
      </w:r>
      <w:r w:rsidR="00804192">
        <w:rPr>
          <w:color w:val="000000" w:themeColor="text1"/>
          <w:u w:color="000000" w:themeColor="text1"/>
        </w:rPr>
        <w:t>s</w:t>
      </w:r>
      <w:r w:rsidRPr="000C3A71">
        <w:rPr>
          <w:color w:val="000000" w:themeColor="text1"/>
          <w:u w:color="000000" w:themeColor="text1"/>
        </w:rPr>
        <w:t xml:space="preserve">ecretary shall report to the House Ways and Means Committee and the Senate Finance Committee each year all of the businesses that have registered with the </w:t>
      </w:r>
      <w:r w:rsidR="00804192">
        <w:rPr>
          <w:color w:val="000000" w:themeColor="text1"/>
          <w:u w:color="000000" w:themeColor="text1"/>
        </w:rPr>
        <w:t>s</w:t>
      </w:r>
      <w:r w:rsidRPr="000C3A71">
        <w:rPr>
          <w:color w:val="000000" w:themeColor="text1"/>
          <w:u w:color="000000" w:themeColor="text1"/>
        </w:rPr>
        <w:t xml:space="preserve">ecretary as a qualified business.  The report must include the name and address of each business, the location of its headquarters, a description of the type of business in which it engages, the amount of capital it has raised, </w:t>
      </w:r>
      <w:r w:rsidRPr="000C3A71">
        <w:rPr>
          <w:color w:val="000000" w:themeColor="text1"/>
          <w:u w:color="000000" w:themeColor="text1"/>
        </w:rPr>
        <w:lastRenderedPageBreak/>
        <w:t>the number of jobs created by the business during the period covered by the report, and the average wages paid by these jobs.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65.</w:t>
      </w:r>
      <w:r w:rsidRPr="000C3A71">
        <w:rPr>
          <w:color w:val="000000" w:themeColor="text1"/>
          <w:u w:color="000000" w:themeColor="text1"/>
        </w:rPr>
        <w:tab/>
        <w:t>(A)</w:t>
      </w:r>
      <w:r w:rsidRPr="000C3A71">
        <w:rPr>
          <w:color w:val="000000" w:themeColor="text1"/>
          <w:u w:color="000000" w:themeColor="text1"/>
        </w:rPr>
        <w:tab/>
        <w:t>For purposes of this section: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(1)</w:t>
      </w:r>
      <w:r w:rsidRPr="000C3A71">
        <w:rPr>
          <w:color w:val="000000" w:themeColor="text1"/>
          <w:u w:color="000000" w:themeColor="text1"/>
        </w:rPr>
        <w:tab/>
        <w:t>‘Angel investor taxpayer’ means a taxpayer who invested in a capital asset and as a result of that investment was eligible to claim the tax credit allowed pursuant to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‘Credit asset’ means a capital asset acquired by an angel investor taxpayer who was eligible to claim the tax credit allowed pursuant to this chapter with respect to the acquisition.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(3)</w:t>
      </w:r>
      <w:r w:rsidRPr="000C3A71">
        <w:rPr>
          <w:color w:val="000000" w:themeColor="text1"/>
          <w:u w:color="000000" w:themeColor="text1"/>
        </w:rPr>
        <w:tab/>
        <w:t>‘Net capital gain’ is as defined in Internal Revenue Code Section 1222 and related sections.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(4)</w:t>
      </w:r>
      <w:r w:rsidRPr="000C3A71">
        <w:rPr>
          <w:color w:val="000000" w:themeColor="text1"/>
          <w:u w:color="000000" w:themeColor="text1"/>
        </w:rPr>
        <w:tab/>
        <w:t>‘Net capital loss’ is as defined in Internal Revenue Code Section 1211(b), not including the limitation imposed pursuant to Section 1211(b)(1).</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(B)(1)</w:t>
      </w:r>
      <w:r w:rsidRPr="000C3A71">
        <w:rPr>
          <w:color w:val="000000" w:themeColor="text1"/>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Pr="000C3A71">
        <w:rPr>
          <w:color w:val="000000" w:themeColor="text1"/>
          <w:u w:color="000000" w:themeColor="text1"/>
        </w:rPr>
        <w:noBreakHyphen/>
        <w:t>6</w:t>
      </w:r>
      <w:r w:rsidRPr="000C3A71">
        <w:rPr>
          <w:color w:val="000000" w:themeColor="text1"/>
          <w:u w:color="000000" w:themeColor="text1"/>
        </w:rPr>
        <w:noBreakHyphen/>
        <w:t>1150 must be reduced by the net capital gain on the sale or exchange of credit assets by the angel investor taxpayer.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(C)(1)</w:t>
      </w:r>
      <w:r w:rsidRPr="000C3A71">
        <w:rPr>
          <w:color w:val="000000" w:themeColor="text1"/>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 xml:space="preserve">If an angel investor taxpayer recognized net capital loss on the sale or exchange of credit assets in a taxable year in an amount greater than the amount of the tax credits claimed on those credit assets, then there is added to the angel investor taxpayer’s </w:t>
      </w:r>
      <w:r w:rsidRPr="000C3A71">
        <w:rPr>
          <w:color w:val="000000" w:themeColor="text1"/>
          <w:u w:color="000000" w:themeColor="text1"/>
        </w:rPr>
        <w:lastRenderedPageBreak/>
        <w:t>South Carolina taxable income for that taxable year the amount of the tax credit claimed on those credit assets.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70.</w:t>
      </w:r>
      <w:r w:rsidRPr="000C3A71">
        <w:rPr>
          <w:color w:val="000000" w:themeColor="text1"/>
          <w:u w:color="000000" w:themeColor="text1"/>
        </w:rPr>
        <w:tab/>
        <w:t>(A)</w:t>
      </w:r>
      <w:r w:rsidRPr="000C3A71">
        <w:rPr>
          <w:color w:val="000000" w:themeColor="text1"/>
          <w:u w:color="000000" w:themeColor="text1"/>
        </w:rPr>
        <w:tab/>
        <w:t>An angel investor seeking to claim a tax credit provided for under this chapter shall submit an application to the Department of Revenue for tentative approval for the tax credit in the year for which the tax credit is claimed or allowed.  The Department of Revenue shall provide for the manner in which the application is to be submitted.  The Department of Revenue shall review the application and tentatively shall approve the application upon determining that it meets the requirements of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The Department of Revenue shall provide tentative approval of the applications by the date provided in subsection (C).</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The Department of Revenue shall notify each qualified investor of the tax credits tentatively approved and allocated to the qualified investor by January thirty</w:t>
      </w:r>
      <w:r w:rsidRPr="000C3A71">
        <w:rPr>
          <w:color w:val="000000" w:themeColor="text1"/>
          <w:u w:color="000000" w:themeColor="text1"/>
        </w:rPr>
        <w:noBreakHyphen/>
        <w:t>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w:t>
      </w:r>
      <w:r w:rsidR="00804192">
        <w:rPr>
          <w:color w:val="000000" w:themeColor="text1"/>
          <w:u w:color="000000" w:themeColor="text1"/>
        </w:rPr>
        <w:t>,</w:t>
      </w:r>
      <w:r w:rsidRPr="000C3A71">
        <w:rPr>
          <w:color w:val="000000" w:themeColor="text1"/>
          <w:u w:color="000000" w:themeColor="text1"/>
        </w:rPr>
        <w:t xml:space="preserve"> the angel investor then may apply the amount of the approved tax credit to its tax liability for the tax year of which the approved application applies.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BCD" w:rsidRDefault="00F557DE"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80.</w:t>
      </w:r>
      <w:r w:rsidRPr="000C3A71">
        <w:rPr>
          <w:color w:val="000000" w:themeColor="text1"/>
          <w:u w:color="000000" w:themeColor="text1"/>
        </w:rPr>
        <w:tab/>
        <w:t xml:space="preserve">Tax credits generated as a result of these investments are not considered securities under the laws of this </w:t>
      </w:r>
      <w:r w:rsidR="00CE6BCD">
        <w:rPr>
          <w:snapToGrid w:val="0"/>
        </w:rPr>
        <w:t>State.</w:t>
      </w:r>
    </w:p>
    <w:p w:rsidR="00CE6BCD" w:rsidRDefault="00CE6BCD"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6BCD" w:rsidRPr="002636AE" w:rsidRDefault="00CE6BCD"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2636AE">
        <w:rPr>
          <w:color w:val="000000" w:themeColor="text1"/>
          <w:u w:color="000000" w:themeColor="text1"/>
        </w:rPr>
        <w:t>S</w:t>
      </w:r>
      <w:r>
        <w:rPr>
          <w:color w:val="000000" w:themeColor="text1"/>
          <w:u w:color="000000" w:themeColor="text1"/>
        </w:rPr>
        <w:t>ection 11</w:t>
      </w:r>
      <w:r>
        <w:rPr>
          <w:color w:val="000000" w:themeColor="text1"/>
          <w:u w:color="000000" w:themeColor="text1"/>
        </w:rPr>
        <w:noBreakHyphen/>
        <w:t>44</w:t>
      </w:r>
      <w:r>
        <w:rPr>
          <w:color w:val="000000" w:themeColor="text1"/>
          <w:u w:color="000000" w:themeColor="text1"/>
        </w:rPr>
        <w:noBreakHyphen/>
        <w:t>90.</w:t>
      </w:r>
      <w:r w:rsidRPr="002636AE">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A qualified business, receiving an investment pursuant to this chapter, shall submit an annual </w:t>
      </w:r>
      <w:r w:rsidRPr="002636AE">
        <w:rPr>
          <w:color w:val="000000" w:themeColor="text1"/>
          <w:u w:color="000000" w:themeColor="text1"/>
        </w:rPr>
        <w:t xml:space="preserve">report to the Department of </w:t>
      </w:r>
      <w:r>
        <w:rPr>
          <w:color w:val="000000" w:themeColor="text1"/>
          <w:u w:color="000000" w:themeColor="text1"/>
        </w:rPr>
        <w:t>Commerce</w:t>
      </w:r>
      <w:r w:rsidRPr="002636AE">
        <w:rPr>
          <w:color w:val="000000" w:themeColor="text1"/>
          <w:u w:color="000000" w:themeColor="text1"/>
        </w:rPr>
        <w:t xml:space="preserve"> that includes a summary of jobs </w:t>
      </w:r>
      <w:r>
        <w:rPr>
          <w:color w:val="000000" w:themeColor="text1"/>
          <w:u w:color="000000" w:themeColor="text1"/>
        </w:rPr>
        <w:t>created</w:t>
      </w:r>
      <w:r w:rsidRPr="002636AE">
        <w:rPr>
          <w:color w:val="000000" w:themeColor="text1"/>
          <w:u w:color="000000" w:themeColor="text1"/>
        </w:rPr>
        <w:t xml:space="preserve"> and lost, categorized by full</w:t>
      </w:r>
      <w:r>
        <w:rPr>
          <w:color w:val="000000" w:themeColor="text1"/>
          <w:u w:color="000000" w:themeColor="text1"/>
        </w:rPr>
        <w:noBreakHyphen/>
      </w:r>
      <w:r w:rsidRPr="002636AE">
        <w:rPr>
          <w:color w:val="000000" w:themeColor="text1"/>
          <w:u w:color="000000" w:themeColor="text1"/>
        </w:rPr>
        <w:t>time, part</w:t>
      </w:r>
      <w:r>
        <w:rPr>
          <w:color w:val="000000" w:themeColor="text1"/>
          <w:u w:color="000000" w:themeColor="text1"/>
        </w:rPr>
        <w:noBreakHyphen/>
      </w:r>
      <w:r w:rsidRPr="002636AE">
        <w:rPr>
          <w:color w:val="000000" w:themeColor="text1"/>
          <w:u w:color="000000" w:themeColor="text1"/>
        </w:rPr>
        <w:t>time, temporary positions, and hourly wage</w:t>
      </w:r>
      <w:r>
        <w:rPr>
          <w:color w:val="000000" w:themeColor="text1"/>
          <w:u w:color="000000" w:themeColor="text1"/>
        </w:rPr>
        <w:t xml:space="preserve"> for each year for five years after an investment is made</w:t>
      </w:r>
      <w:r w:rsidRPr="002636AE">
        <w:rPr>
          <w:color w:val="000000" w:themeColor="text1"/>
          <w:u w:color="000000" w:themeColor="text1"/>
        </w:rPr>
        <w:t xml:space="preserve">. The </w:t>
      </w:r>
      <w:r>
        <w:rPr>
          <w:color w:val="000000" w:themeColor="text1"/>
          <w:u w:color="000000" w:themeColor="text1"/>
        </w:rPr>
        <w:t xml:space="preserve">initial </w:t>
      </w:r>
      <w:r w:rsidRPr="002636AE">
        <w:rPr>
          <w:color w:val="000000" w:themeColor="text1"/>
          <w:u w:color="000000" w:themeColor="text1"/>
        </w:rPr>
        <w:t>summary report must include a statement of how the in</w:t>
      </w:r>
      <w:r>
        <w:rPr>
          <w:color w:val="000000" w:themeColor="text1"/>
          <w:u w:color="000000" w:themeColor="text1"/>
        </w:rPr>
        <w:t>vestment</w:t>
      </w:r>
      <w:r w:rsidRPr="002636AE">
        <w:rPr>
          <w:color w:val="000000" w:themeColor="text1"/>
          <w:u w:color="000000" w:themeColor="text1"/>
        </w:rPr>
        <w:t xml:space="preserve"> was used and whether it was effective for the </w:t>
      </w:r>
      <w:r>
        <w:rPr>
          <w:color w:val="000000" w:themeColor="text1"/>
          <w:u w:color="000000" w:themeColor="text1"/>
        </w:rPr>
        <w:t>qualified business</w:t>
      </w:r>
      <w:r w:rsidRPr="002636AE">
        <w:rPr>
          <w:color w:val="000000" w:themeColor="text1"/>
          <w:u w:color="000000" w:themeColor="text1"/>
        </w:rPr>
        <w:t>. The report must be made available to the public via the department</w:t>
      </w:r>
      <w:r w:rsidRPr="00F716B9">
        <w:rPr>
          <w:color w:val="000000" w:themeColor="text1"/>
          <w:u w:color="000000" w:themeColor="text1"/>
        </w:rPr>
        <w:t>’</w:t>
      </w:r>
      <w:r w:rsidRPr="002636AE">
        <w:rPr>
          <w:color w:val="000000" w:themeColor="text1"/>
          <w:u w:color="000000" w:themeColor="text1"/>
        </w:rPr>
        <w:t xml:space="preserve">s website. </w:t>
      </w:r>
    </w:p>
    <w:p w:rsidR="00CE6BCD" w:rsidRPr="002636AE" w:rsidRDefault="00CE6BCD"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2636AE">
        <w:rPr>
          <w:color w:val="000000" w:themeColor="text1"/>
          <w:u w:color="000000" w:themeColor="text1"/>
        </w:rPr>
        <w:t>The Department of</w:t>
      </w:r>
      <w:r>
        <w:rPr>
          <w:color w:val="000000" w:themeColor="text1"/>
          <w:u w:color="000000" w:themeColor="text1"/>
        </w:rPr>
        <w:t xml:space="preserve"> Commerce shall submit an annual</w:t>
      </w:r>
      <w:r w:rsidRPr="002636AE">
        <w:rPr>
          <w:color w:val="000000" w:themeColor="text1"/>
          <w:u w:color="000000" w:themeColor="text1"/>
        </w:rPr>
        <w:t xml:space="preserve"> report </w:t>
      </w:r>
      <w:r>
        <w:rPr>
          <w:color w:val="000000" w:themeColor="text1"/>
          <w:u w:color="000000" w:themeColor="text1"/>
        </w:rPr>
        <w:t>to the General Assembly and the Governor by January thirty</w:t>
      </w:r>
      <w:r>
        <w:rPr>
          <w:color w:val="000000" w:themeColor="text1"/>
          <w:u w:color="000000" w:themeColor="text1"/>
        </w:rPr>
        <w:noBreakHyphen/>
        <w:t xml:space="preserve">first </w:t>
      </w:r>
      <w:r w:rsidRPr="002636AE">
        <w:rPr>
          <w:color w:val="000000" w:themeColor="text1"/>
          <w:u w:color="000000" w:themeColor="text1"/>
        </w:rPr>
        <w:t xml:space="preserve">containing: </w:t>
      </w:r>
    </w:p>
    <w:p w:rsidR="00CE6BCD" w:rsidRPr="002636AE" w:rsidRDefault="00CE6BCD"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sidRPr="002636AE">
        <w:rPr>
          <w:color w:val="000000" w:themeColor="text1"/>
          <w:u w:color="000000" w:themeColor="text1"/>
        </w:rPr>
        <w:t>)</w:t>
      </w:r>
      <w:r w:rsidRPr="002636AE">
        <w:rPr>
          <w:color w:val="000000" w:themeColor="text1"/>
          <w:u w:color="000000" w:themeColor="text1"/>
        </w:rPr>
        <w:tab/>
      </w:r>
      <w:r>
        <w:rPr>
          <w:color w:val="000000" w:themeColor="text1"/>
          <w:u w:color="000000" w:themeColor="text1"/>
        </w:rPr>
        <w:t>the aggregate amount of all credits issued pursuant to this chapter during the previous tax year;</w:t>
      </w:r>
      <w:r w:rsidRPr="002636AE">
        <w:rPr>
          <w:color w:val="000000" w:themeColor="text1"/>
          <w:u w:color="000000" w:themeColor="text1"/>
        </w:rPr>
        <w:t xml:space="preserve"> </w:t>
      </w:r>
    </w:p>
    <w:p w:rsidR="00CE6BCD" w:rsidRDefault="00CE6BCD"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36AE">
        <w:rPr>
          <w:color w:val="000000" w:themeColor="text1"/>
          <w:u w:color="000000" w:themeColor="text1"/>
        </w:rPr>
        <w:tab/>
      </w:r>
      <w:r w:rsidRPr="002636AE">
        <w:rPr>
          <w:color w:val="000000" w:themeColor="text1"/>
          <w:u w:color="000000" w:themeColor="text1"/>
        </w:rPr>
        <w:tab/>
      </w:r>
      <w:r>
        <w:rPr>
          <w:color w:val="000000" w:themeColor="text1"/>
          <w:u w:color="000000" w:themeColor="text1"/>
        </w:rPr>
        <w:tab/>
        <w:t>(b</w:t>
      </w:r>
      <w:r w:rsidRPr="002636AE">
        <w:rPr>
          <w:color w:val="000000" w:themeColor="text1"/>
          <w:u w:color="000000" w:themeColor="text1"/>
        </w:rPr>
        <w:t>)</w:t>
      </w:r>
      <w:r w:rsidRPr="002636AE">
        <w:rPr>
          <w:color w:val="000000" w:themeColor="text1"/>
          <w:u w:color="000000" w:themeColor="text1"/>
        </w:rPr>
        <w:tab/>
        <w:t xml:space="preserve">the name </w:t>
      </w:r>
      <w:r>
        <w:rPr>
          <w:color w:val="000000" w:themeColor="text1"/>
          <w:u w:color="000000" w:themeColor="text1"/>
        </w:rPr>
        <w:t>of each qualified business receiving an investment; and</w:t>
      </w:r>
    </w:p>
    <w:p w:rsidR="00CE6BCD" w:rsidRDefault="00CE6BCD"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detailed summary of the reports filed pursuant to subsection (A), including a cost</w:t>
      </w:r>
      <w:r>
        <w:rPr>
          <w:color w:val="000000" w:themeColor="text1"/>
          <w:u w:color="000000" w:themeColor="text1"/>
        </w:rPr>
        <w:noBreakHyphen/>
        <w:t>benefit analysis of the amount of credit awarded and jobs created.</w:t>
      </w:r>
    </w:p>
    <w:p w:rsidR="00F557DE" w:rsidRPr="000C3A71" w:rsidRDefault="00CE6BCD" w:rsidP="00CE6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636AE">
        <w:rPr>
          <w:color w:val="000000" w:themeColor="text1"/>
          <w:u w:color="000000" w:themeColor="text1"/>
        </w:rPr>
        <w:t>The report must be made available to the public via the department</w:t>
      </w:r>
      <w:r w:rsidRPr="00F716B9">
        <w:rPr>
          <w:color w:val="000000" w:themeColor="text1"/>
          <w:u w:color="000000" w:themeColor="text1"/>
        </w:rPr>
        <w:t>’</w:t>
      </w:r>
      <w:r>
        <w:rPr>
          <w:color w:val="000000" w:themeColor="text1"/>
          <w:u w:color="000000" w:themeColor="text1"/>
        </w:rPr>
        <w:t>s website.</w:t>
      </w:r>
      <w:r w:rsidRPr="002636AE">
        <w:rPr>
          <w:color w:val="000000" w:themeColor="text1"/>
          <w:u w:color="000000" w:themeColor="text1"/>
        </w:rPr>
        <w:t>”</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B.</w:t>
      </w:r>
      <w:r w:rsidRPr="000C3A71">
        <w:rPr>
          <w:color w:val="000000" w:themeColor="text1"/>
          <w:u w:color="000000" w:themeColor="text1"/>
        </w:rPr>
        <w:tab/>
      </w:r>
      <w:r w:rsidRPr="000C3A71">
        <w:rPr>
          <w:color w:val="000000" w:themeColor="text1"/>
          <w:u w:color="000000" w:themeColor="text1"/>
        </w:rPr>
        <w:tab/>
        <w:t>The provisions of Chapter 44, Title 11 contained in this act are repealed on December 31, 2019.  Any carry forward credits shall continue to be allowed until the ten year time period in Section 12</w:t>
      </w:r>
      <w:r w:rsidRPr="000C3A71">
        <w:rPr>
          <w:color w:val="000000" w:themeColor="text1"/>
          <w:u w:color="000000" w:themeColor="text1"/>
        </w:rPr>
        <w:noBreakHyphen/>
        <w:t>44</w:t>
      </w:r>
      <w:r w:rsidRPr="000C3A71">
        <w:rPr>
          <w:color w:val="000000" w:themeColor="text1"/>
          <w:u w:color="000000" w:themeColor="text1"/>
        </w:rPr>
        <w:noBreakHyphen/>
        <w:t>40(B) is completed.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2.</w:t>
      </w:r>
      <w:r w:rsidRPr="000C3A71">
        <w:rPr>
          <w:color w:val="000000" w:themeColor="text1"/>
          <w:u w:color="000000" w:themeColor="text1"/>
        </w:rPr>
        <w:tab/>
        <w:t>Section 12</w:t>
      </w:r>
      <w:r w:rsidRPr="000C3A71">
        <w:rPr>
          <w:color w:val="000000" w:themeColor="text1"/>
          <w:u w:color="000000" w:themeColor="text1"/>
        </w:rPr>
        <w:noBreakHyphen/>
        <w:t>54</w:t>
      </w:r>
      <w:r w:rsidRPr="000C3A71">
        <w:rPr>
          <w:color w:val="000000" w:themeColor="text1"/>
          <w:u w:color="000000" w:themeColor="text1"/>
        </w:rPr>
        <w:noBreakHyphen/>
        <w:t>240(B) of the 1976 Code, as last amended by Act 116 of 2007, is further amended by adding an appropriately numbered item at the end to read: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  )</w:t>
      </w:r>
      <w:r w:rsidRPr="000C3A71">
        <w:rPr>
          <w:color w:val="000000" w:themeColor="text1"/>
          <w:u w:color="000000" w:themeColor="text1"/>
        </w:rPr>
        <w:tab/>
        <w:t>exchange between the Department of Revenue and the Secretary of State of any information that assists the Department of Revenue or the Secretary of State in determining or verifying information concerning whether a business is a qualified business pursuant to Section 11</w:t>
      </w:r>
      <w:r w:rsidRPr="000C3A71">
        <w:rPr>
          <w:color w:val="000000" w:themeColor="text1"/>
          <w:u w:color="000000" w:themeColor="text1"/>
        </w:rPr>
        <w:noBreakHyphen/>
        <w:t>44</w:t>
      </w:r>
      <w:r w:rsidRPr="000C3A71">
        <w:rPr>
          <w:color w:val="000000" w:themeColor="text1"/>
          <w:u w:color="000000" w:themeColor="text1"/>
        </w:rPr>
        <w:noBreakHyphen/>
        <w:t>60.”</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3.</w:t>
      </w:r>
      <w:r w:rsidRPr="000C3A71">
        <w:rPr>
          <w:color w:val="000000" w:themeColor="text1"/>
          <w:u w:color="000000" w:themeColor="text1"/>
        </w:rPr>
        <w:tab/>
        <w:t>This act takes effect upon approval by the Governor, and the tax credits permitted by this chapter are first available for investments made after December 31, 2012.</w:t>
      </w:r>
      <w:r w:rsidRPr="000C3A71">
        <w:rPr>
          <w:color w:val="000000" w:themeColor="text1"/>
          <w:u w:color="000000" w:themeColor="text1"/>
        </w:rPr>
        <w:tab/>
      </w:r>
    </w:p>
    <w:p w:rsidR="00F56428" w:rsidRDefault="00F73058" w:rsidP="0040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428" w:rsidRDefault="00F56428" w:rsidP="00020234">
      <w:pPr>
        <w:suppressAutoHyphens/>
      </w:pPr>
    </w:p>
    <w:sectPr w:rsidR="00F56428" w:rsidSect="003D61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F7E" w:rsidRDefault="00F95F7E" w:rsidP="009F0C77">
      <w:r>
        <w:separator/>
      </w:r>
    </w:p>
  </w:endnote>
  <w:endnote w:type="continuationSeparator" w:id="0">
    <w:p w:rsidR="00F95F7E" w:rsidRDefault="00F95F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A4E066-FEC1-4810-AA9F-09207E0D57A9}"/>
    <w:embedBold r:id="rId2" w:fontKey="{1BB01996-B66A-4155-A854-3B1785B42027}"/>
  </w:font>
  <w:font w:name="Calibri">
    <w:panose1 w:val="020F0502020204030204"/>
    <w:charset w:val="00"/>
    <w:family w:val="swiss"/>
    <w:pitch w:val="variable"/>
    <w:sig w:usb0="E10002FF" w:usb1="4000ACFF" w:usb2="00000009" w:usb3="00000000" w:csb0="0000019F" w:csb1="00000000"/>
    <w:embedRegular r:id="rId3" w:fontKey="{BE9861E8-B39E-4D28-B766-A98584A1D9D7}"/>
  </w:font>
  <w:font w:name="Tahoma">
    <w:panose1 w:val="020B0604030504040204"/>
    <w:charset w:val="00"/>
    <w:family w:val="swiss"/>
    <w:pitch w:val="variable"/>
    <w:sig w:usb0="21002A87" w:usb1="80000000" w:usb2="00000008" w:usb3="00000000" w:csb0="000101FF" w:csb1="00000000"/>
    <w:embedRegular r:id="rId4" w:fontKey="{B2F78106-ADE6-44B9-A816-58623D5769A5}"/>
  </w:font>
  <w:font w:name="Cambria">
    <w:panose1 w:val="02040503050406030204"/>
    <w:charset w:val="00"/>
    <w:family w:val="roman"/>
    <w:pitch w:val="variable"/>
    <w:sig w:usb0="E00002FF" w:usb1="400004FF" w:usb2="00000000" w:usb3="00000000" w:csb0="0000019F" w:csb1="00000000"/>
    <w:embedRegular r:id="rId5" w:fontKey="{04E236C3-F90C-46A9-BBE2-572CB2D1B8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1CC" w:rsidRPr="00F56428" w:rsidRDefault="00F56428" w:rsidP="00F56428">
    <w:pPr>
      <w:pStyle w:val="Footer"/>
      <w:tabs>
        <w:tab w:val="clear" w:pos="4680"/>
        <w:tab w:val="clear" w:pos="9360"/>
        <w:tab w:val="center" w:pos="2995"/>
      </w:tabs>
      <w:spacing w:before="120"/>
    </w:pPr>
    <w:r>
      <w:t>[262</w:t>
    </w:r>
    <w:r w:rsidR="003D6192">
      <w:t>-</w:t>
    </w:r>
    <w:fldSimple w:instr=" PAGE  \* MERGEFORMAT ">
      <w:r w:rsidR="00020234">
        <w:rPr>
          <w:noProof/>
        </w:rPr>
        <w:t>1</w:t>
      </w:r>
    </w:fldSimple>
    <w:r w:rsidR="003D61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92" w:rsidRPr="00F56428" w:rsidRDefault="003D6192" w:rsidP="00F56428">
    <w:pPr>
      <w:pStyle w:val="Footer"/>
      <w:tabs>
        <w:tab w:val="clear" w:pos="4680"/>
        <w:tab w:val="clear" w:pos="9360"/>
        <w:tab w:val="center" w:pos="2995"/>
      </w:tabs>
      <w:spacing w:before="120"/>
    </w:pPr>
    <w:r>
      <w:t>[262]</w:t>
    </w:r>
    <w:r>
      <w:tab/>
    </w:r>
    <w:fldSimple w:instr=" PAGE  \* MERGEFORMAT ">
      <w:r w:rsidR="000202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F7E" w:rsidRDefault="00F95F7E" w:rsidP="009F0C77">
      <w:r>
        <w:separator/>
      </w:r>
    </w:p>
  </w:footnote>
  <w:footnote w:type="continuationSeparator" w:id="0">
    <w:p w:rsidR="00F95F7E" w:rsidRDefault="00F95F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4DG13"/>
    <w:docVar w:name="CoverBillType" w:val="b"/>
    <w:docVar w:name="docpath" w:val="L:\Council\bills\NL\13104DG13.DOCX"/>
    <w:docVar w:name="dvBillNumber" w:val="262"/>
    <w:docVar w:name="dvBillNumberPrefix" w:val="S. "/>
    <w:docVar w:name="dvOriginalBody" w:val="Senate"/>
    <w:docVar w:name="dvSteno" w:val="NL"/>
    <w:docVar w:name="NameofBody" w:val="s"/>
    <w:docVar w:name="vgroup2" w:val="Council"/>
  </w:docVars>
  <w:rsids>
    <w:rsidRoot w:val="0022349B"/>
    <w:rsid w:val="00020234"/>
    <w:rsid w:val="00026C9A"/>
    <w:rsid w:val="000965A1"/>
    <w:rsid w:val="000B1D26"/>
    <w:rsid w:val="000E1785"/>
    <w:rsid w:val="000F39F2"/>
    <w:rsid w:val="001023A4"/>
    <w:rsid w:val="0010776B"/>
    <w:rsid w:val="00123D94"/>
    <w:rsid w:val="00133E66"/>
    <w:rsid w:val="00134ACF"/>
    <w:rsid w:val="00144E15"/>
    <w:rsid w:val="00190392"/>
    <w:rsid w:val="001A405B"/>
    <w:rsid w:val="001A4A62"/>
    <w:rsid w:val="001A681E"/>
    <w:rsid w:val="001D08F2"/>
    <w:rsid w:val="002037CA"/>
    <w:rsid w:val="002047A2"/>
    <w:rsid w:val="0022349B"/>
    <w:rsid w:val="002321B6"/>
    <w:rsid w:val="0023696B"/>
    <w:rsid w:val="00250967"/>
    <w:rsid w:val="002759C5"/>
    <w:rsid w:val="00277DEE"/>
    <w:rsid w:val="00280D88"/>
    <w:rsid w:val="00294ABE"/>
    <w:rsid w:val="002A3EB4"/>
    <w:rsid w:val="002F2638"/>
    <w:rsid w:val="002F71F5"/>
    <w:rsid w:val="00325348"/>
    <w:rsid w:val="00393688"/>
    <w:rsid w:val="003D411E"/>
    <w:rsid w:val="003D6192"/>
    <w:rsid w:val="003E3C1E"/>
    <w:rsid w:val="003E6148"/>
    <w:rsid w:val="00400EAA"/>
    <w:rsid w:val="00404F35"/>
    <w:rsid w:val="0041760A"/>
    <w:rsid w:val="00462EB3"/>
    <w:rsid w:val="004809EE"/>
    <w:rsid w:val="00511EE9"/>
    <w:rsid w:val="00521E00"/>
    <w:rsid w:val="00577C6C"/>
    <w:rsid w:val="00580E77"/>
    <w:rsid w:val="0058501B"/>
    <w:rsid w:val="006215AA"/>
    <w:rsid w:val="006340D9"/>
    <w:rsid w:val="00643B8E"/>
    <w:rsid w:val="0065577C"/>
    <w:rsid w:val="00665EBC"/>
    <w:rsid w:val="0069470D"/>
    <w:rsid w:val="006A476C"/>
    <w:rsid w:val="006C6A93"/>
    <w:rsid w:val="006E02F9"/>
    <w:rsid w:val="00753C04"/>
    <w:rsid w:val="00756174"/>
    <w:rsid w:val="00756946"/>
    <w:rsid w:val="00757F80"/>
    <w:rsid w:val="00771EEC"/>
    <w:rsid w:val="00786819"/>
    <w:rsid w:val="007A325A"/>
    <w:rsid w:val="007F1523"/>
    <w:rsid w:val="007F509E"/>
    <w:rsid w:val="007F5799"/>
    <w:rsid w:val="007F6947"/>
    <w:rsid w:val="00804192"/>
    <w:rsid w:val="00867F40"/>
    <w:rsid w:val="00872729"/>
    <w:rsid w:val="008F4429"/>
    <w:rsid w:val="00932670"/>
    <w:rsid w:val="009352BB"/>
    <w:rsid w:val="00935D15"/>
    <w:rsid w:val="00990668"/>
    <w:rsid w:val="009C022F"/>
    <w:rsid w:val="009E66B7"/>
    <w:rsid w:val="009F0C77"/>
    <w:rsid w:val="009F4DD1"/>
    <w:rsid w:val="00A64E80"/>
    <w:rsid w:val="00A741D9"/>
    <w:rsid w:val="00A9741D"/>
    <w:rsid w:val="00AD4B17"/>
    <w:rsid w:val="00AE4B0C"/>
    <w:rsid w:val="00B26FA6"/>
    <w:rsid w:val="00B741CB"/>
    <w:rsid w:val="00B90B04"/>
    <w:rsid w:val="00B934F3"/>
    <w:rsid w:val="00BB6347"/>
    <w:rsid w:val="00BD2134"/>
    <w:rsid w:val="00C038D8"/>
    <w:rsid w:val="00C045DD"/>
    <w:rsid w:val="00C21E42"/>
    <w:rsid w:val="00C3136F"/>
    <w:rsid w:val="00C3483A"/>
    <w:rsid w:val="00C74E9D"/>
    <w:rsid w:val="00C82FD3"/>
    <w:rsid w:val="00CB550B"/>
    <w:rsid w:val="00CC6B7B"/>
    <w:rsid w:val="00CD3619"/>
    <w:rsid w:val="00CE6BCD"/>
    <w:rsid w:val="00CF4447"/>
    <w:rsid w:val="00D405E7"/>
    <w:rsid w:val="00D41D56"/>
    <w:rsid w:val="00D6260D"/>
    <w:rsid w:val="00D6662B"/>
    <w:rsid w:val="00D95E2F"/>
    <w:rsid w:val="00D970A9"/>
    <w:rsid w:val="00DB3AC0"/>
    <w:rsid w:val="00DE68F0"/>
    <w:rsid w:val="00DF3845"/>
    <w:rsid w:val="00DF7E17"/>
    <w:rsid w:val="00E83DA4"/>
    <w:rsid w:val="00E905C8"/>
    <w:rsid w:val="00EB00A2"/>
    <w:rsid w:val="00EB1BF3"/>
    <w:rsid w:val="00EF3EEE"/>
    <w:rsid w:val="00EF41CC"/>
    <w:rsid w:val="00F149A7"/>
    <w:rsid w:val="00F50BAF"/>
    <w:rsid w:val="00F52C10"/>
    <w:rsid w:val="00F557DE"/>
    <w:rsid w:val="00F56428"/>
    <w:rsid w:val="00F73058"/>
    <w:rsid w:val="00F81FFD"/>
    <w:rsid w:val="00F85228"/>
    <w:rsid w:val="00F95F7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0B04"/>
    <w:rPr>
      <w:rFonts w:ascii="Tahoma" w:hAnsi="Tahoma" w:cs="Tahoma"/>
      <w:sz w:val="16"/>
      <w:szCs w:val="16"/>
    </w:rPr>
  </w:style>
  <w:style w:type="character" w:customStyle="1" w:styleId="BalloonTextChar">
    <w:name w:val="Balloon Text Char"/>
    <w:basedOn w:val="DefaultParagraphFont"/>
    <w:link w:val="BalloonText"/>
    <w:uiPriority w:val="99"/>
    <w:semiHidden/>
    <w:rsid w:val="00B90B04"/>
    <w:rPr>
      <w:rFonts w:ascii="Tahoma" w:eastAsia="Times New Roman" w:hAnsi="Tahoma" w:cs="Tahoma"/>
      <w:sz w:val="16"/>
      <w:szCs w:val="16"/>
    </w:rPr>
  </w:style>
  <w:style w:type="paragraph" w:customStyle="1" w:styleId="BillDots0">
    <w:name w:val="Bill Dots"/>
    <w:basedOn w:val="Normal"/>
    <w:qFormat/>
    <w:rsid w:val="002F263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F263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F2633-6CAE-428A-9344-C13E3BCAE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2517</Words>
  <Characters>14347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2013-01-16T20:59:00Z</cp:lastPrinted>
  <dcterms:created xsi:type="dcterms:W3CDTF">2013-03-12T21:12:00Z</dcterms:created>
  <dcterms:modified xsi:type="dcterms:W3CDTF">2013-03-12T21:12:00Z</dcterms:modified>
</cp:coreProperties>
</file>