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C2BCC" w:rsidRP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17, 2013</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Pr="004C2BCC" w:rsidRDefault="004C2BCC" w:rsidP="004C2BCC">
      <w:pPr>
        <w:tabs>
          <w:tab w:val="right" w:pos="5933"/>
        </w:tabs>
        <w:suppressAutoHyphens/>
        <w:jc w:val="both"/>
        <w:rPr>
          <w:rFonts w:eastAsia="Times New Roman"/>
        </w:rPr>
      </w:pPr>
      <w:r>
        <w:rPr>
          <w:rFonts w:eastAsia="Times New Roman"/>
        </w:rPr>
        <w:tab/>
      </w:r>
      <w:r>
        <w:rPr>
          <w:rFonts w:eastAsia="Times New Roman"/>
          <w:b/>
          <w:sz w:val="36"/>
        </w:rPr>
        <w:t>S. 2</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4C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 Martin, Cromer, Hayes and Grooms</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1/17/13--S.</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4C2BCC" w:rsidRPr="004C2BCC" w:rsidRDefault="004C2BCC" w:rsidP="004C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2BCC"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2" w:name="titletop"/>
      <w:bookmarkEnd w:id="2"/>
      <w:r>
        <w:rPr>
          <w:color w:val="000000" w:themeColor="text1"/>
        </w:rPr>
        <w:t>TO ESTABLISH THE “EQUAL ACCESS TO THE BALLOT ACT”, BY AMENDING SECTION 8</w:t>
      </w:r>
      <w:r>
        <w:rPr>
          <w:color w:val="000000" w:themeColor="text1"/>
        </w:rPr>
        <w:noBreakHyphen/>
        <w:t>13</w:t>
      </w:r>
      <w:r>
        <w:rPr>
          <w:color w:val="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Pr>
          <w:color w:val="000000" w:themeColor="text1"/>
        </w:rPr>
        <w:noBreakHyphen/>
        <w:t>11</w:t>
      </w:r>
      <w:r>
        <w:rPr>
          <w:color w:val="000000" w:themeColor="text1"/>
        </w:rPr>
        <w:noBreakHyphen/>
        <w:t>15, TO PROVIDE THAT THE FILING PERIOD RUNS FROM MARCH TWENTY</w:t>
      </w:r>
      <w:r>
        <w:rPr>
          <w:color w:val="000000" w:themeColor="text1"/>
        </w:rPr>
        <w:noBreakHyphen/>
        <w:t xml:space="preserve">THIRD TO MARCH THIRTIETH, TO REQUIRE THAT THE PARTY EXECUTIVE COMMITTEE NOT ACCEPT A STATEMENT OF INTENTION OF CANDIDACY UNLESS THE COMMITTEE VERIFIES THAT THE CANDIDATE FILED AN ELECTRONIC STATEMENT OF ECONOMIC INTEREST, AND TO PROVIDE THAT INTENTIONS OF CANDIDACY ARE TO BE SUBMITTED TO THE APPROPRIATE ELECTION COMMISSION BY NOON ON THE FIFTH DAY AFTER THE FILING DEADLINE.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w:t>
      </w:r>
      <w:r>
        <w:rPr>
          <w:color w:val="000000"/>
        </w:rPr>
        <w:tab/>
        <w:t>Section 7-11-15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7-11-15.</w:t>
      </w:r>
      <w:r>
        <w:rPr>
          <w:color w:val="000000"/>
        </w:rPr>
        <w:tab/>
      </w:r>
      <w:r>
        <w:rPr>
          <w:color w:val="000000"/>
          <w:u w:val="single"/>
        </w:rPr>
        <w:t>(A)</w:t>
      </w:r>
      <w:r>
        <w:rPr>
          <w:color w:val="000000"/>
        </w:rPr>
        <w:tab/>
        <w:t xml:space="preserve">In order to qualify as a candidate to run in the general election, all candidates seeking nomination by political party primary or political party convention must file a </w:t>
      </w:r>
      <w:r>
        <w:rPr>
          <w:color w:val="000000"/>
        </w:rPr>
        <w:lastRenderedPageBreak/>
        <w:t xml:space="preserve">statement of intention of candidacy between noon on March sixteenth and noon on March thirtieth as provided in this section.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snapToGrid w:val="0"/>
          <w:szCs w:val="20"/>
        </w:rPr>
        <w:tab/>
      </w:r>
      <w:r>
        <w:rPr>
          <w:rFonts w:eastAsia="Times New Roman"/>
          <w:snapToGrid w:val="0"/>
          <w:szCs w:val="20"/>
        </w:rPr>
        <w:tab/>
      </w:r>
      <w:r>
        <w:t>(1)</w:t>
      </w:r>
      <w:r>
        <w:tab/>
      </w:r>
      <w:r>
        <w:rPr>
          <w:strike/>
        </w:rPr>
        <w:t>Candidates</w:t>
      </w:r>
      <w:r>
        <w:t xml:space="preserve"> </w:t>
      </w:r>
      <w:r>
        <w:rPr>
          <w:u w:val="single" w:color="000000" w:themeColor="text1"/>
        </w:rPr>
        <w:t>Except as otherwise provided in this section, candidates</w:t>
      </w:r>
      <w:r>
        <w:t xml:space="preserve"> seeking nomination for a statewide, congressional, or district office that includes more than one county must file their statements of intention of candidacy with the </w:t>
      </w:r>
      <w:r>
        <w:rPr>
          <w:strike/>
        </w:rPr>
        <w:t>state executive committee of their respective party</w:t>
      </w:r>
      <w:r>
        <w:t xml:space="preserve"> </w:t>
      </w:r>
      <w:r>
        <w:rPr>
          <w:u w:val="single" w:color="000000" w:themeColor="text1"/>
        </w:rPr>
        <w:t>State Election Commission</w:t>
      </w:r>
      <w:r>
        <w:t>.</w:t>
      </w:r>
      <w:r>
        <w:rPr>
          <w:color w:val="000000"/>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t xml:space="preserve">Candidates seeking nomination for the State Senate or House of Representatives must file their statements of intention of candidacy with the county </w:t>
      </w:r>
      <w:r>
        <w:rPr>
          <w:strike/>
          <w:color w:val="000000"/>
        </w:rPr>
        <w:t>executive committee of their respective party</w:t>
      </w:r>
      <w:r>
        <w:rPr>
          <w:color w:val="000000"/>
        </w:rPr>
        <w:t xml:space="preserve"> </w:t>
      </w:r>
      <w:r>
        <w:rPr>
          <w:color w:val="000000"/>
          <w:u w:val="single"/>
        </w:rPr>
        <w:t>election</w:t>
      </w:r>
      <w:r>
        <w:rPr>
          <w:color w:val="000000"/>
        </w:rPr>
        <w:t xml:space="preserve"> commission in the county of their residence.  </w:t>
      </w:r>
      <w:r>
        <w:rPr>
          <w:strike/>
          <w:color w:val="000000"/>
        </w:rPr>
        <w:t>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Pr>
          <w:color w:val="000000"/>
        </w:rPr>
        <w:t xml:space="preserve">  The state executive committees must certify candidates pursuant to Section 7</w:t>
      </w:r>
      <w:r>
        <w:rPr>
          <w:color w:val="000000"/>
        </w:rPr>
        <w:noBreakHyphen/>
        <w:t>13</w:t>
      </w:r>
      <w:r>
        <w:rPr>
          <w:color w:val="000000"/>
        </w:rPr>
        <w:noBreakHyphen/>
        <w:t xml:space="preserve">40.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(3)</w:t>
      </w:r>
      <w:r>
        <w:rPr>
          <w:color w:val="000000"/>
        </w:rPr>
        <w:tab/>
        <w:t xml:space="preserve">Candidates seeking nomination for a countywide or less than countywide office shall file their statements of intention of candidacy with the county </w:t>
      </w:r>
      <w:r>
        <w:rPr>
          <w:strike/>
          <w:color w:val="000000"/>
        </w:rPr>
        <w:t>executive committee of their respective party</w:t>
      </w:r>
      <w:r>
        <w:rPr>
          <w:color w:val="000000"/>
        </w:rPr>
        <w:t xml:space="preserve"> </w:t>
      </w:r>
      <w:r>
        <w:rPr>
          <w:color w:val="000000"/>
          <w:u w:val="single"/>
        </w:rPr>
        <w:t>election commission in the county of their residence</w:t>
      </w:r>
      <w:r>
        <w:rPr>
          <w:color w:val="000000"/>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(B)</w:t>
      </w:r>
      <w:r>
        <w:rPr>
          <w:color w:val="000000"/>
        </w:rPr>
        <w:tab/>
        <w:t xml:space="preserve">Except as provided herein, the county </w:t>
      </w:r>
      <w:r>
        <w:rPr>
          <w:strike/>
          <w:color w:val="000000"/>
        </w:rPr>
        <w:t>executive committee of any political party</w:t>
      </w:r>
      <w:r>
        <w:rPr>
          <w:color w:val="000000"/>
        </w:rPr>
        <w:t xml:space="preserve"> </w:t>
      </w:r>
      <w:r>
        <w:rPr>
          <w:color w:val="000000"/>
          <w:u w:val="single"/>
        </w:rPr>
        <w:t>election commission</w:t>
      </w:r>
      <w:r>
        <w:rPr>
          <w:color w:val="000000"/>
        </w:rPr>
        <w:t xml:space="preserve"> with whom statements of intention of candidacy are filed must </w:t>
      </w:r>
      <w:r>
        <w:rPr>
          <w:strike/>
          <w:color w:val="000000"/>
        </w:rPr>
        <w:t>file, in turn,</w:t>
      </w:r>
      <w:r>
        <w:rPr>
          <w:color w:val="000000"/>
        </w:rPr>
        <w:t xml:space="preserve"> </w:t>
      </w:r>
      <w:r>
        <w:rPr>
          <w:color w:val="000000"/>
          <w:u w:val="single"/>
        </w:rPr>
        <w:t>provide a copy of</w:t>
      </w:r>
      <w:r>
        <w:rPr>
          <w:color w:val="000000"/>
        </w:rPr>
        <w:t xml:space="preserve"> all statements of intention of candidacy </w:t>
      </w:r>
      <w:r>
        <w:rPr>
          <w:strike/>
          <w:color w:val="000000"/>
        </w:rPr>
        <w:t>with the county election commission by noon on the tenth</w:t>
      </w:r>
      <w:r>
        <w:rPr>
          <w:color w:val="000000"/>
        </w:rPr>
        <w:t xml:space="preserve"> </w:t>
      </w:r>
      <w:r>
        <w:rPr>
          <w:color w:val="000000"/>
          <w:u w:val="single"/>
        </w:rPr>
        <w:t>to the appropriate political party executive committee within two days</w:t>
      </w:r>
      <w:r>
        <w:rPr>
          <w:color w:val="000000"/>
        </w:rPr>
        <w:t xml:space="preserve"> following the deadline for filing statements by candidates.  If the </w:t>
      </w:r>
      <w:r>
        <w:rPr>
          <w:strike/>
          <w:color w:val="000000"/>
        </w:rPr>
        <w:t>tenth</w:t>
      </w:r>
      <w:r>
        <w:rPr>
          <w:color w:val="000000"/>
        </w:rPr>
        <w:t xml:space="preserve"> </w:t>
      </w:r>
      <w:r>
        <w:rPr>
          <w:color w:val="000000"/>
          <w:u w:val="single"/>
        </w:rPr>
        <w:t>second</w:t>
      </w:r>
      <w:r>
        <w:rPr>
          <w:color w:val="000000"/>
        </w:rPr>
        <w:t xml:space="preserve"> day falls on Saturday, Sunday, or a legal holiday, the statements must be filed by noon the following day </w:t>
      </w:r>
      <w:r>
        <w:rPr>
          <w:color w:val="000000"/>
          <w:u w:val="single"/>
        </w:rPr>
        <w:t>that is not a Saturday, Sunday or legal holiday</w:t>
      </w:r>
      <w:r>
        <w:rPr>
          <w:color w:val="000000"/>
        </w:rPr>
        <w:t xml:space="preserve">.  </w:t>
      </w:r>
      <w:r>
        <w:rPr>
          <w:strike/>
          <w:color w:val="000000"/>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Pr>
          <w:color w:val="000000"/>
        </w:rPr>
        <w:t xml:space="preserve">  No candidate's name may appear on a primary election ballot, convention slate of candidates, general election ballot, or special election ballot, except as otherwise provided by law, if (1) the candidate's statement of intention of candidacy has not been filed with the County Election Commission or State Election Commission, as the case may be, by the deadline and (2) the candidate has not been certified by the </w:t>
      </w:r>
      <w:r>
        <w:rPr>
          <w:color w:val="000000"/>
        </w:rPr>
        <w:lastRenderedPageBreak/>
        <w:t>appropriate political party as required by Sections 7</w:t>
      </w:r>
      <w:r>
        <w:rPr>
          <w:color w:val="000000"/>
        </w:rPr>
        <w:noBreakHyphen/>
        <w:t>13</w:t>
      </w:r>
      <w:r>
        <w:rPr>
          <w:color w:val="000000"/>
        </w:rPr>
        <w:noBreakHyphen/>
        <w:t>40 and 7</w:t>
      </w:r>
      <w:r>
        <w:rPr>
          <w:color w:val="000000"/>
        </w:rPr>
        <w:noBreakHyphen/>
        <w:t>13</w:t>
      </w:r>
      <w:r>
        <w:rPr>
          <w:color w:val="000000"/>
        </w:rPr>
        <w:noBreakHyphen/>
        <w:t xml:space="preserve">350, as applicable.  The candidate's name must appear if the candidate produces the signed and dated copy of his timely filed statement of intention of candidacy. </w:t>
      </w:r>
      <w:r>
        <w:rPr>
          <w:color w:val="000000"/>
          <w:u w:val="single"/>
        </w:rPr>
        <w:t>An error or omission by a person seeking to qualify as a candidate pursuant to this section that is not directly related to a constitutional or statutory qualification must be construed in a manner that favors the person's access to the ballot.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u w:val="single"/>
        </w:rPr>
        <w:t>(C)</w:t>
      </w:r>
      <w:r>
        <w:rPr>
          <w:color w:val="000000"/>
        </w:rPr>
        <w:tab/>
        <w:t>The statement of intention of candidacy required in this section and in Section 7</w:t>
      </w:r>
      <w:r>
        <w:rPr>
          <w:color w:val="000000"/>
        </w:rPr>
        <w:noBreakHyphen/>
        <w:t>13</w:t>
      </w:r>
      <w:r>
        <w:rPr>
          <w:color w:val="000000"/>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w:t>
      </w:r>
      <w:r>
        <w:rPr>
          <w:strike/>
          <w:color w:val="000000"/>
        </w:rPr>
        <w:t>It must be filed in triplicate by the candidate</w:t>
      </w:r>
      <w:r>
        <w:rPr>
          <w:color w:val="000000"/>
        </w:rPr>
        <w:t xml:space="preserve"> </w:t>
      </w:r>
      <w:r>
        <w:rPr>
          <w:color w:val="000000"/>
          <w:u w:val="single"/>
        </w:rPr>
        <w:t>The candidate must file three signed copies</w:t>
      </w:r>
      <w:r>
        <w:rPr>
          <w:color w:val="000000"/>
        </w:rPr>
        <w:t xml:space="preserve"> and the </w:t>
      </w:r>
      <w:r>
        <w:rPr>
          <w:strike/>
          <w:color w:val="000000"/>
        </w:rPr>
        <w:t>political party committee</w:t>
      </w:r>
      <w:r>
        <w:rPr>
          <w:color w:val="000000"/>
        </w:rPr>
        <w:t xml:space="preserve"> </w:t>
      </w:r>
      <w:r>
        <w:rPr>
          <w:color w:val="000000"/>
          <w:u w:val="single"/>
        </w:rPr>
        <w:t>election commission</w:t>
      </w:r>
      <w:r>
        <w:rPr>
          <w:color w:val="000000"/>
        </w:rPr>
        <w:t xml:space="preserve"> with whom it is filed must stamp </w:t>
      </w:r>
      <w:r>
        <w:rPr>
          <w:strike/>
          <w:color w:val="000000"/>
        </w:rPr>
        <w:t>it</w:t>
      </w:r>
      <w:r>
        <w:rPr>
          <w:color w:val="000000"/>
        </w:rPr>
        <w:t xml:space="preserve"> </w:t>
      </w:r>
      <w:r>
        <w:rPr>
          <w:color w:val="000000"/>
          <w:u w:val="single"/>
        </w:rPr>
        <w:t>each copy</w:t>
      </w:r>
      <w:r>
        <w:rPr>
          <w:color w:val="000000"/>
        </w:rPr>
        <w:t xml:space="preserve"> with the date and time received, </w:t>
      </w:r>
      <w:r>
        <w:rPr>
          <w:strike/>
          <w:color w:val="000000"/>
        </w:rPr>
        <w:t>sign it,</w:t>
      </w:r>
      <w:r>
        <w:rPr>
          <w:color w:val="000000"/>
        </w:rPr>
        <w:t xml:space="preserve"> keep one copy, return one copy to the candidate, and send one copy to </w:t>
      </w:r>
      <w:r>
        <w:rPr>
          <w:strike/>
          <w:color w:val="000000"/>
        </w:rPr>
        <w:t>either the county election commission or the State Election Commission, as the case may be</w:t>
      </w:r>
      <w:r>
        <w:rPr>
          <w:color w:val="000000"/>
        </w:rPr>
        <w:t xml:space="preserve"> </w:t>
      </w:r>
      <w:r>
        <w:rPr>
          <w:color w:val="000000"/>
          <w:u w:val="single"/>
        </w:rPr>
        <w:t>the appropriate political party executive committee</w:t>
      </w:r>
      <w:r>
        <w:rPr>
          <w:color w:val="000000"/>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u w:val="single"/>
        </w:rPr>
        <w:t>(D)</w:t>
      </w:r>
      <w:r>
        <w:rPr>
          <w:color w:val="000000"/>
        </w:rPr>
        <w:tab/>
        <w:t xml:space="preserve">If, after the closing of the time for filing statements of intention of candidacy, there are not more than two candidates for any one office 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u w:val="single"/>
        </w:rPr>
        <w:t>(E)</w:t>
      </w:r>
      <w:r>
        <w:rPr>
          <w:color w:val="000000"/>
        </w:rPr>
        <w:tab/>
        <w:t xml:space="preserve">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7-11-55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7</w:t>
      </w:r>
      <w:r>
        <w:rPr>
          <w:color w:val="000000" w:themeColor="text1"/>
        </w:rPr>
        <w:noBreakHyphen/>
        <w:t>11</w:t>
      </w:r>
      <w:r>
        <w:rPr>
          <w:color w:val="000000" w:themeColor="text1"/>
        </w:rPr>
        <w:noBreakHyphen/>
        <w:t>55.</w:t>
      </w:r>
      <w:r>
        <w:rPr>
          <w:color w:val="000000" w:themeColor="text1"/>
        </w:rPr>
        <w:tab/>
        <w:t xml:space="preserve">If a party nominee dies, becomes disqualified after his nomination, or resigns his candidacy for a </w:t>
      </w:r>
      <w:r>
        <w:rPr>
          <w:color w:val="000000" w:themeColor="text1"/>
        </w:rPr>
        <w:lastRenderedPageBreak/>
        <w:t>legitimate nonpolitical reason as defined in Section 7</w:t>
      </w:r>
      <w:r>
        <w:rPr>
          <w:color w:val="000000" w:themeColor="text1"/>
        </w:rPr>
        <w:noBreakHyphen/>
        <w:t>11</w:t>
      </w:r>
      <w:r>
        <w:rPr>
          <w:color w:val="000000" w:themeColor="text1"/>
        </w:rPr>
        <w:noBreakHyphen/>
        <w:t xml:space="preserve">50 and was selected through a party primary election, the vacancy must be filled in a special primary election to be conducted as provided in this section.  The filing period for this special primary election opens the second Tuesday after the death, disqualification, or approval of the resignation for one week.  The special primary election then must be conducted on the second Tuesday immediately following the close of the filing period.  A runoff, if necessary, must be held two weeks after the first primary.  The nomination must be certified not less than two weeks before the date of the general election.  If the nomination is certified two weeks or more before the date of the general election, that office is to be filled at the general election.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scheduled to occur within a twenty</w:t>
      </w:r>
      <w:r>
        <w:rPr>
          <w:color w:val="000000" w:themeColor="text1"/>
        </w:rPr>
        <w:noBreakHyphen/>
        <w:t>eight day period in the manner authorized by Section 7</w:t>
      </w:r>
      <w:r>
        <w:rPr>
          <w:color w:val="000000" w:themeColor="text1"/>
        </w:rPr>
        <w:noBreakHyphen/>
        <w:t>13</w:t>
      </w:r>
      <w:r>
        <w:rPr>
          <w:color w:val="000000" w:themeColor="text1"/>
        </w:rPr>
        <w:noBreakHyphen/>
        <w:t xml:space="preserve">190(D).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The procedures for resigning a candidacy under this section for legitimate nonpolitical reasons are the same as provided in Section 7</w:t>
      </w:r>
      <w:r>
        <w:rPr>
          <w:color w:val="000000" w:themeColor="text1"/>
        </w:rPr>
        <w:noBreakHyphen/>
        <w:t>11</w:t>
      </w:r>
      <w:r>
        <w:rPr>
          <w:color w:val="000000" w:themeColor="text1"/>
        </w:rPr>
        <w:noBreakHyphen/>
        <w:t xml:space="preserve">50.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u w:val="single"/>
        </w:rPr>
        <w:t xml:space="preserve">In order to qualify as a candidate, the person must file his statement of intention of candidacy in the manner provided in Section 7-11-15.  A candidate must also file his statement of economic interests electronically with the State Ethics Commission pursuant to </w:t>
      </w:r>
      <w:r>
        <w:rPr>
          <w:u w:val="single"/>
        </w:rPr>
        <w:t>Section 8-13-1356(A)</w:t>
      </w:r>
      <w:r>
        <w:rPr>
          <w:color w:val="000000"/>
          <w:u w:val="single"/>
        </w:rPr>
        <w:t>.</w:t>
      </w:r>
      <w:r>
        <w:rPr>
          <w:color w:val="000000"/>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 xml:space="preserve">Where the party nominee was unopposed, each political party registered with the State Election Commission has the privilege of nominating a candidate for the office involved through a special primary election in the same manner and under the same procedures stipulated by this section.”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SECTION</w:t>
      </w:r>
      <w:r>
        <w:rPr>
          <w:color w:val="000000" w:themeColor="text1"/>
        </w:rPr>
        <w:tab/>
        <w:t>3.</w:t>
      </w:r>
      <w:r>
        <w:rPr>
          <w:color w:val="000000" w:themeColor="text1"/>
        </w:rPr>
        <w:tab/>
        <w:t>Section 7-13-40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w:t>
      </w:r>
      <w:r>
        <w:rPr>
          <w:color w:val="000000"/>
        </w:rPr>
        <w:lastRenderedPageBreak/>
        <w:t xml:space="preserve">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w:t>
      </w:r>
      <w:r>
        <w:rPr>
          <w:strike/>
          <w:color w:val="000000"/>
        </w:rPr>
        <w:t>Political parties must not accept the filing of</w:t>
      </w:r>
      <w:r>
        <w:rPr>
          <w:color w:val="000000"/>
        </w:rPr>
        <w:t xml:space="preserve"> </w:t>
      </w:r>
      <w:r>
        <w:rPr>
          <w:color w:val="000000"/>
          <w:u w:val="single"/>
        </w:rPr>
        <w:t>A political party must not certify</w:t>
      </w:r>
      <w:r>
        <w:rPr>
          <w:color w:val="000000"/>
        </w:rPr>
        <w:t xml:space="preserve"> any candidate who does not or will not by the time of the general election, or as otherwise required by law, meet the qualifications for the office for which the candidate </w:t>
      </w:r>
      <w:r>
        <w:rPr>
          <w:strike/>
          <w:color w:val="000000"/>
        </w:rPr>
        <w:t>desires to file</w:t>
      </w:r>
      <w:r>
        <w:rPr>
          <w:color w:val="000000"/>
        </w:rPr>
        <w:t xml:space="preserve"> </w:t>
      </w:r>
      <w:r>
        <w:rPr>
          <w:color w:val="000000"/>
          <w:u w:val="single"/>
        </w:rPr>
        <w:t>has filed</w:t>
      </w:r>
      <w:r>
        <w:rPr>
          <w:color w:val="000000"/>
        </w:rPr>
        <w:t xml:space="preserv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Section 7-13-45 of the 1976 Code is amended to read:</w:t>
      </w:r>
    </w:p>
    <w:p w:rsidR="00186990" w:rsidRDefault="00186990" w:rsidP="00186990">
      <w:pPr>
        <w:jc w:val="both"/>
        <w:rPr>
          <w:color w:val="00000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7</w:t>
      </w:r>
      <w:r>
        <w:rPr>
          <w:color w:val="000000" w:themeColor="text1"/>
        </w:rPr>
        <w:noBreakHyphen/>
        <w:t>13</w:t>
      </w:r>
      <w:r>
        <w:rPr>
          <w:color w:val="000000" w:themeColor="text1"/>
        </w:rPr>
        <w:noBreakHyphen/>
        <w:t>45.</w:t>
      </w:r>
      <w:r>
        <w:rPr>
          <w:color w:val="000000" w:themeColor="text1"/>
        </w:rPr>
        <w:tab/>
      </w:r>
      <w:r>
        <w:rPr>
          <w:color w:val="000000" w:themeColor="text1"/>
          <w:u w:val="single" w:color="000000" w:themeColor="text1"/>
        </w:rPr>
        <w:t>(A)</w:t>
      </w:r>
      <w:r>
        <w:rPr>
          <w:color w:val="000000" w:themeColor="text1"/>
        </w:rPr>
        <w:tab/>
        <w:t xml:space="preserve">In every general election year, the county chairman shall: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color w:val="000000" w:themeColor="text1"/>
        </w:rPr>
        <w:tab/>
        <w:t>(1)</w:t>
      </w:r>
      <w:r>
        <w:rPr>
          <w:color w:val="000000" w:themeColor="text1"/>
        </w:rPr>
        <w:tab/>
        <w:t xml:space="preserve">designate a specified place other than a private residence where </w:t>
      </w:r>
      <w:r>
        <w:rPr>
          <w:strike/>
          <w:color w:val="000000" w:themeColor="text1"/>
        </w:rPr>
        <w:t xml:space="preserve">persons may file a statement of intention of candidacy; </w:t>
      </w:r>
      <w:r>
        <w:rPr>
          <w:color w:val="000000" w:themeColor="text1"/>
        </w:rPr>
        <w:t xml:space="preserve"> </w:t>
      </w:r>
      <w:r>
        <w:rPr>
          <w:color w:val="000000" w:themeColor="text1"/>
          <w:u w:val="single"/>
        </w:rPr>
        <w:t>the county chairman, or his designee, will accept a candidate’s filing fee and provide for the signing of the party pledge as provided by Section 7-11-210</w:t>
      </w:r>
      <w:r>
        <w:rPr>
          <w:color w:val="000000" w:themeColor="text1"/>
        </w:rPr>
        <w:t xml:space="preserve">.  </w:t>
      </w:r>
      <w:r>
        <w:rPr>
          <w:color w:val="000000" w:themeColor="text1"/>
          <w:u w:val="single"/>
        </w:rPr>
        <w:t xml:space="preserve">The specified place may include the county election commission office, and the county election commission shall cooperate to the extent necessary to facilitate this designation.  The county chairman may also designate the county election commission director as the person to accept the filing fee and </w:t>
      </w:r>
      <w:r>
        <w:rPr>
          <w:color w:val="000000" w:themeColor="text1"/>
          <w:u w:val="single"/>
        </w:rPr>
        <w:lastRenderedPageBreak/>
        <w:t>provide for the signing of the party pledge.  If so designated, the county election commission director, or his designee, shall collect filing fees and provide for the signing of the party pledge at the times established pursuant to this section and shall transmit the fees and pledges to the county chairman periodically during and at the conclusion of the filing period at times agreed to by the county party chairman and the county election commission director;</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color w:val="000000" w:themeColor="text1"/>
        </w:rPr>
        <w:tab/>
      </w:r>
      <w:r>
        <w:rPr>
          <w:strike/>
          <w:color w:val="000000" w:themeColor="text1"/>
        </w:rPr>
        <w:t>(2)</w:t>
      </w:r>
      <w:r>
        <w:rPr>
          <w:color w:val="000000" w:themeColor="text1"/>
        </w:rPr>
        <w:tab/>
      </w:r>
      <w:r>
        <w:rPr>
          <w:strike/>
          <w:color w:val="000000" w:themeColor="text1"/>
        </w:rPr>
        <w:t xml:space="preserve">designate a specified place other than a private residence where persons may file as candidates;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u w:val="single" w:color="000000" w:themeColor="text1"/>
        </w:rPr>
        <w:t>(2)</w:t>
      </w:r>
      <w:r>
        <w:rPr>
          <w:strike/>
          <w:color w:val="000000" w:themeColor="text1"/>
        </w:rPr>
        <w:t>(3)</w:t>
      </w:r>
      <w:r>
        <w:rPr>
          <w:color w:val="000000" w:themeColor="text1"/>
        </w:rPr>
        <w:tab/>
        <w:t>establish regular hours of not less than four hours a day during the final seventy</w:t>
      </w:r>
      <w:r>
        <w:rPr>
          <w:color w:val="000000" w:themeColor="text1"/>
        </w:rPr>
        <w:noBreakHyphen/>
        <w:t xml:space="preserve">two hours of the filing period in which he or some person he designates must be present at the designated place to accept </w:t>
      </w:r>
      <w:r>
        <w:rPr>
          <w:strike/>
          <w:color w:val="000000" w:themeColor="text1"/>
        </w:rPr>
        <w:t>filings</w:t>
      </w:r>
      <w:r>
        <w:rPr>
          <w:color w:val="000000" w:themeColor="text1"/>
        </w:rPr>
        <w:t xml:space="preserve"> </w:t>
      </w:r>
      <w:r>
        <w:rPr>
          <w:color w:val="000000" w:themeColor="text1"/>
          <w:u w:val="single"/>
        </w:rPr>
        <w:t>filing fees and provide for the signing of the party pledge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r>
      <w:r>
        <w:rPr>
          <w:strike/>
          <w:color w:val="000000" w:themeColor="text1"/>
        </w:rPr>
        <w:t>(4)</w:t>
      </w:r>
      <w:r>
        <w:rPr>
          <w:color w:val="000000" w:themeColor="text1"/>
          <w:u w:val="single" w:color="000000" w:themeColor="text1"/>
        </w:rPr>
        <w:t>(3)</w:t>
      </w:r>
      <w:r>
        <w:rPr>
          <w:color w:val="000000" w:themeColor="text1"/>
        </w:rPr>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5.</w:t>
      </w:r>
      <w:r>
        <w:tab/>
        <w:t>Section 8</w:t>
      </w:r>
      <w:r>
        <w:noBreakHyphen/>
        <w:t>13</w:t>
      </w:r>
      <w:r>
        <w:noBreakHyphen/>
        <w:t xml:space="preserve">365 of the 1976 Code is amended to read: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8-13-365.</w:t>
      </w:r>
      <w:r>
        <w:tab/>
      </w:r>
      <w:r>
        <w:rPr>
          <w:strike/>
        </w:rPr>
        <w:t>(A)</w:t>
      </w:r>
      <w:r>
        <w:tab/>
        <w:t xml:space="preserve">The commission shall establish a system of electronic filing for all disclosures and reports required pursuant to Chapter 13, Title 8, and Chapter 17, Title 2 from all persons and entities subject to its jurisdiction </w:t>
      </w:r>
      <w:r>
        <w:rPr>
          <w:u w:val="single"/>
        </w:rPr>
        <w:t>except for forms and reports required pursuant to Article 9, Chapter 13, Title 8</w:t>
      </w:r>
      <w:r>
        <w:t>.  These disclosures and reports must be filed using an Internet</w:t>
      </w:r>
      <w:r>
        <w:noBreakHyphen/>
        <w:t xml:space="preserve">based filing system as prescribed by the commission.  </w:t>
      </w:r>
      <w:r>
        <w:rPr>
          <w:strike/>
        </w:rPr>
        <w:t>Reports and disclosures filed with the Ethics Committees of the Senate and House of Representatives for legislative offices must be in a format such that these filings can be forwarded to the State Ethics Commission using an Internet</w:t>
      </w:r>
      <w:r>
        <w:rPr>
          <w:strike/>
        </w:rPr>
        <w:noBreakHyphen/>
        <w:t>based system</w:t>
      </w:r>
      <w:r>
        <w:t xml:space="preserve">.  The information contained in the reports and disclosure forms, with the exception of social security numbers, campaign bank account numbers, and tax ID numbers, must be publicly accessible, searchable, and transferable.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t xml:space="preserve"> </w:t>
      </w:r>
      <w:r>
        <w:rPr>
          <w:strike/>
        </w:rPr>
        <w:t xml:space="preserve">The Ethics Commission must submit to the General Assembly a report no later than one year after implementation of subsection (A), concerning the effectiveness of mandatory electronic filing, and must make recommendations as to the </w:t>
      </w:r>
      <w:r>
        <w:rPr>
          <w:strike/>
        </w:rPr>
        <w:lastRenderedPageBreak/>
        <w:t>implementation of mandatory filing for all other candidates and entities.</w:t>
      </w:r>
      <w: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6.</w:t>
      </w:r>
      <w:r>
        <w:rPr>
          <w:color w:val="000000" w:themeColor="text1"/>
        </w:rPr>
        <w:tab/>
        <w:t>Section 8</w:t>
      </w:r>
      <w:r>
        <w:rPr>
          <w:color w:val="000000" w:themeColor="text1"/>
        </w:rPr>
        <w:noBreakHyphen/>
        <w:t>13</w:t>
      </w:r>
      <w:r>
        <w:rPr>
          <w:color w:val="000000" w:themeColor="text1"/>
        </w:rPr>
        <w:noBreakHyphen/>
        <w:t>1140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1140.</w:t>
      </w:r>
      <w:r>
        <w:rPr>
          <w:color w:val="000000" w:themeColor="text1"/>
        </w:rPr>
        <w:tab/>
        <w:t xml:space="preserve">A person required to file a statement of economic interests under this chapter shall </w:t>
      </w:r>
      <w:r>
        <w:rPr>
          <w:color w:val="000000" w:themeColor="text1"/>
          <w:u w:val="single" w:color="000000" w:themeColor="text1"/>
        </w:rPr>
        <w:t>annually</w:t>
      </w:r>
      <w:r>
        <w:rPr>
          <w:color w:val="000000" w:themeColor="text1"/>
        </w:rPr>
        <w:t xml:space="preserve"> file</w:t>
      </w:r>
      <w:r>
        <w:rPr>
          <w:color w:val="000000" w:themeColor="text1"/>
          <w:u w:val="single" w:color="000000" w:themeColor="text1"/>
        </w:rPr>
        <w:t>, pursuant to Section 8</w:t>
      </w:r>
      <w:r>
        <w:rPr>
          <w:color w:val="000000" w:themeColor="text1"/>
          <w:u w:val="single" w:color="000000" w:themeColor="text1"/>
        </w:rPr>
        <w:noBreakHyphen/>
        <w:t>13</w:t>
      </w:r>
      <w:r>
        <w:rPr>
          <w:color w:val="000000" w:themeColor="text1"/>
          <w:u w:val="single" w:color="000000" w:themeColor="text1"/>
        </w:rPr>
        <w:noBreakHyphen/>
        <w:t>365,</w:t>
      </w:r>
      <w:r>
        <w:rPr>
          <w:color w:val="000000" w:themeColor="text1"/>
        </w:rPr>
        <w:t xml:space="preserve"> an updated statement for the previous calendar year </w:t>
      </w:r>
      <w:r>
        <w:rPr>
          <w:strike/>
          <w:color w:val="000000" w:themeColor="text1"/>
        </w:rPr>
        <w:t>with the appropriate supervisory office</w:t>
      </w:r>
      <w:r>
        <w:rPr>
          <w:color w:val="000000" w:themeColor="text1"/>
        </w:rPr>
        <w:t xml:space="preserve"> </w:t>
      </w:r>
      <w:r>
        <w:rPr>
          <w:strike/>
          <w:color w:val="000000" w:themeColor="text1"/>
        </w:rPr>
        <w:t>annually</w:t>
      </w:r>
      <w:r>
        <w:rPr>
          <w:color w:val="000000" w:themeColor="text1"/>
        </w:rPr>
        <w:t xml:space="preserve">, no later than </w:t>
      </w:r>
      <w:r>
        <w:rPr>
          <w:strike/>
          <w:color w:val="000000" w:themeColor="text1"/>
        </w:rPr>
        <w:t>April fifteenth</w:t>
      </w:r>
      <w:r>
        <w:rPr>
          <w:color w:val="000000" w:themeColor="text1"/>
        </w:rPr>
        <w:t xml:space="preserve"> </w:t>
      </w:r>
      <w:r>
        <w:rPr>
          <w:color w:val="000000" w:themeColor="text1"/>
          <w:u w:val="single"/>
        </w:rPr>
        <w:t>noon on March thirtieth</w:t>
      </w:r>
      <w:r>
        <w:rPr>
          <w:color w:val="000000" w:themeColor="text1"/>
        </w:rPr>
        <w:t xml:space="preserve"> of each calendar year</w:t>
      </w:r>
      <w:r>
        <w:rPr>
          <w:strike/>
          <w:color w:val="000000" w:themeColor="text1"/>
        </w:rPr>
        <w:t>, listing any addition, deletion, or change in his economic status with respect to which information is required to be supplied under this article</w:t>
      </w:r>
      <w:r>
        <w:rPr>
          <w:color w:val="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 7.</w:t>
      </w:r>
      <w:r>
        <w:rPr>
          <w:color w:val="000000" w:themeColor="text1"/>
        </w:rPr>
        <w:tab/>
        <w:t>Section 7-11-210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7</w:t>
      </w:r>
      <w:r>
        <w:rPr>
          <w:color w:val="000000" w:themeColor="text1"/>
        </w:rPr>
        <w:noBreakHyphen/>
        <w:t>11</w:t>
      </w:r>
      <w:r>
        <w:rPr>
          <w:color w:val="000000" w:themeColor="text1"/>
        </w:rPr>
        <w:noBreakHyphen/>
        <w:t>210.</w:t>
      </w:r>
      <w:r>
        <w:rPr>
          <w:color w:val="000000" w:themeColor="text1"/>
        </w:rPr>
        <w:tab/>
        <w:t xml:space="preserve">Every candidate for selection as a nominee of any political party for any state office, United States Senator, member of Congress, or solicitor, to be voted for in any party primary election or political party convention, shall file with and place in the possession of the </w:t>
      </w:r>
      <w:r>
        <w:rPr>
          <w:strike/>
          <w:color w:val="000000" w:themeColor="text1"/>
        </w:rPr>
        <w:t>treasurer of the state committee</w:t>
      </w:r>
      <w:r>
        <w:rPr>
          <w:color w:val="000000" w:themeColor="text1"/>
        </w:rPr>
        <w:t xml:space="preserve"> </w:t>
      </w:r>
      <w:r>
        <w:rPr>
          <w:color w:val="000000" w:themeColor="text1"/>
          <w:u w:val="single"/>
        </w:rPr>
        <w:t>state chairman or his designee</w:t>
      </w:r>
      <w:r>
        <w:rPr>
          <w:color w:val="000000" w:themeColor="text1"/>
        </w:rPr>
        <w:t xml:space="preserve"> by twelve o’clock noon on March thirtieth </w:t>
      </w:r>
      <w:r>
        <w:rPr>
          <w:color w:val="000000" w:themeColor="text1"/>
          <w:u w:val="single"/>
        </w:rPr>
        <w:t>pursuant to Section 7</w:t>
      </w:r>
      <w:r>
        <w:rPr>
          <w:color w:val="000000" w:themeColor="text1"/>
          <w:u w:val="single"/>
        </w:rPr>
        <w:noBreakHyphen/>
        <w:t>13</w:t>
      </w:r>
      <w:r>
        <w:rPr>
          <w:color w:val="000000" w:themeColor="text1"/>
          <w:u w:val="single"/>
        </w:rPr>
        <w:noBreakHyphen/>
        <w:t>45</w:t>
      </w:r>
      <w:r>
        <w:rPr>
          <w:color w:val="000000" w:themeColor="text1"/>
        </w:rPr>
        <w:t xml:space="preserve"> a notice or pledge in the following form, the blanks being properly filled in and the notice or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Pr>
          <w:color w:val="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w:t>
      </w:r>
      <w:r>
        <w:rPr>
          <w:color w:val="000000" w:themeColor="text1"/>
        </w:rPr>
        <w:lastRenderedPageBreak/>
        <w:t xml:space="preserve">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Every candidate for selection in a primary election as the nominee of any political party for member of the Senate, member of the House of Representatives, and all county and township offices shall file with and place in the possession of the county chairman</w:t>
      </w:r>
      <w:r>
        <w:rPr>
          <w:color w:val="000000" w:themeColor="text1"/>
          <w:u w:val="single"/>
        </w:rPr>
        <w:t xml:space="preserve"> of the county in which they reside, or the chairman’s designee,</w:t>
      </w:r>
      <w:r>
        <w:rPr>
          <w:color w:val="000000" w:themeColor="text1"/>
        </w:rPr>
        <w:t xml:space="preserve"> </w:t>
      </w:r>
      <w:r>
        <w:rPr>
          <w:strike/>
          <w:color w:val="000000" w:themeColor="text1"/>
        </w:rPr>
        <w:t>or other officer as may be named by the county committee of the county in which they reside</w:t>
      </w:r>
      <w:r>
        <w:rPr>
          <w:color w:val="000000" w:themeColor="text1"/>
        </w:rPr>
        <w:t xml:space="preserve"> by twelve o’clock noon on March thirtieth a like notice and pledge.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 xml:space="preserve">The notice of candidacy required by this section to be filed by a candidate in a primary must be signed personally by the candidate, and the signature of the candidate must be signed in the presence of the county chairman </w:t>
      </w:r>
      <w:r>
        <w:rPr>
          <w:color w:val="000000" w:themeColor="text1"/>
          <w:u w:val="single"/>
        </w:rPr>
        <w:t>or his designee</w:t>
      </w:r>
      <w:r>
        <w:rPr>
          <w:color w:val="000000" w:themeColor="text1"/>
        </w:rPr>
        <w:t xml:space="preserve"> </w:t>
      </w:r>
      <w:r>
        <w:rPr>
          <w:strike/>
          <w:color w:val="000000" w:themeColor="text1"/>
        </w:rPr>
        <w:t>or other officer as may be named by the county committee with whom the candidate is filing, or a candidate must have his signature on the notice of the candidacy acknowledged and certified by any officer authorized to administer an oath</w:t>
      </w:r>
      <w:r>
        <w:rPr>
          <w:color w:val="000000" w:themeColor="text1"/>
        </w:rPr>
        <w:t xml:space="preserve">.  Any notice of candidacy of any candidate signed by an agent in behalf of a candidate shall not be valid.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 xml:space="preserve">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8.</w:t>
      </w:r>
      <w:r>
        <w:rPr>
          <w:color w:val="000000" w:themeColor="text1"/>
        </w:rPr>
        <w:tab/>
        <w:t>Section 7-11-220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 xml:space="preserve">“Section </w:t>
      </w:r>
      <w:r>
        <w:t>7</w:t>
      </w:r>
      <w:r>
        <w:noBreakHyphen/>
        <w:t>11</w:t>
      </w:r>
      <w:r>
        <w:noBreakHyphen/>
        <w:t>220.</w:t>
      </w:r>
      <w:r>
        <w:tab/>
      </w:r>
      <w:r>
        <w:rPr>
          <w:color w:val="000000"/>
        </w:rPr>
        <w:tab/>
        <w:t xml:space="preserve">Every candidate for selection in a primary election as the nominee of a political party for the office of State Senator shall file with and place in the possession of the county chairman of the county </w:t>
      </w:r>
      <w:r>
        <w:rPr>
          <w:color w:val="000000"/>
          <w:u w:val="single"/>
        </w:rPr>
        <w:t>or his designee</w:t>
      </w:r>
      <w:r>
        <w:rPr>
          <w:color w:val="000000"/>
        </w:rPr>
        <w:t xml:space="preserve"> in which he resides</w:t>
      </w:r>
      <w:r>
        <w:rPr>
          <w:strike/>
          <w:color w:val="000000"/>
        </w:rPr>
        <w:t xml:space="preserve">, or such other officer as may be named by the county committee of the </w:t>
      </w:r>
      <w:r>
        <w:rPr>
          <w:strike/>
          <w:color w:val="000000"/>
        </w:rPr>
        <w:lastRenderedPageBreak/>
        <w:t>county in which he resides,</w:t>
      </w:r>
      <w:r>
        <w:rPr>
          <w:color w:val="000000"/>
        </w:rPr>
        <w:t xml:space="preserve"> at the same time as those wishing to offer for nomination in such primary for county</w:t>
      </w:r>
      <w:r>
        <w:rPr>
          <w:color w:val="000000"/>
        </w:rPr>
        <w:noBreakHyphen/>
        <w:t>wide or less than county</w:t>
      </w:r>
      <w:r>
        <w:rPr>
          <w:color w:val="000000"/>
        </w:rPr>
        <w:noBreakHyphen/>
        <w:t>wide office, a notice or pledge as required by Section 7</w:t>
      </w:r>
      <w:r>
        <w:rPr>
          <w:color w:val="000000"/>
        </w:rPr>
        <w:noBreakHyphen/>
        <w:t>11</w:t>
      </w:r>
      <w:r>
        <w:rPr>
          <w:color w:val="000000"/>
        </w:rPr>
        <w:noBreakHyphen/>
        <w:t>210."</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9.</w:t>
      </w:r>
      <w:r>
        <w:rPr>
          <w:color w:val="000000" w:themeColor="text1"/>
        </w:rPr>
        <w:tab/>
        <w:t>Section 8</w:t>
      </w:r>
      <w:r>
        <w:rPr>
          <w:color w:val="000000" w:themeColor="text1"/>
        </w:rPr>
        <w:noBreakHyphen/>
        <w:t>13</w:t>
      </w:r>
      <w:r>
        <w:rPr>
          <w:color w:val="000000" w:themeColor="text1"/>
        </w:rPr>
        <w:noBreakHyphen/>
        <w:t>1356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1356.</w:t>
      </w:r>
      <w:r>
        <w:rPr>
          <w:color w:val="000000" w:themeColor="text1"/>
        </w:rPr>
        <w:tab/>
        <w:t>(A)</w:t>
      </w:r>
      <w:r>
        <w:rPr>
          <w:color w:val="000000" w:themeColor="text1"/>
        </w:rPr>
        <w:tab/>
      </w:r>
      <w:r>
        <w:rPr>
          <w:strike/>
          <w:color w:val="000000" w:themeColor="text1"/>
        </w:rPr>
        <w:t>This section does not apply to a public official who has a current disclosure statement on file with the appropriate supervisory office pursuant to Sections 8</w:t>
      </w:r>
      <w:r>
        <w:rPr>
          <w:strike/>
          <w:color w:val="000000" w:themeColor="text1"/>
        </w:rPr>
        <w:noBreakHyphen/>
        <w:t>13</w:t>
      </w:r>
      <w:r>
        <w:rPr>
          <w:strike/>
          <w:color w:val="000000" w:themeColor="text1"/>
        </w:rPr>
        <w:noBreakHyphen/>
        <w:t>1110 or 8</w:t>
      </w:r>
      <w:r>
        <w:rPr>
          <w:strike/>
          <w:color w:val="000000" w:themeColor="text1"/>
        </w:rPr>
        <w:noBreakHyphen/>
        <w:t>13</w:t>
      </w:r>
      <w:r>
        <w:rPr>
          <w:strike/>
          <w:color w:val="000000" w:themeColor="text1"/>
        </w:rPr>
        <w:noBreakHyphen/>
        <w:t>1140.</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strike/>
          <w:color w:val="000000" w:themeColor="text1"/>
        </w:rPr>
        <w:t>(B)</w:t>
      </w:r>
      <w:r>
        <w:rPr>
          <w:color w:val="000000" w:themeColor="text1"/>
        </w:rPr>
        <w:tab/>
        <w:t xml:space="preserve">A </w:t>
      </w:r>
      <w:r>
        <w:rPr>
          <w:color w:val="000000" w:themeColor="text1"/>
          <w:u w:val="single"/>
        </w:rPr>
        <w:t>person who becomes a</w:t>
      </w:r>
      <w:r>
        <w:rPr>
          <w:color w:val="000000" w:themeColor="text1"/>
        </w:rPr>
        <w:t xml:space="preserve"> candidate </w:t>
      </w:r>
      <w:r>
        <w:rPr>
          <w:color w:val="000000" w:themeColor="text1"/>
          <w:u w:val="single"/>
        </w:rPr>
        <w:t>by filing a statement of intention of candidacy seeking nomination by political party primary or political party convention</w:t>
      </w:r>
      <w:r>
        <w:rPr>
          <w:color w:val="000000" w:themeColor="text1"/>
        </w:rPr>
        <w:t xml:space="preserve"> must </w:t>
      </w:r>
      <w:r>
        <w:rPr>
          <w:color w:val="000000" w:themeColor="text1"/>
          <w:u w:val="single" w:color="000000" w:themeColor="text1"/>
        </w:rPr>
        <w:t>electronically</w:t>
      </w:r>
      <w:r>
        <w:rPr>
          <w:color w:val="000000" w:themeColor="text1"/>
        </w:rPr>
        <w:t xml:space="preserve"> file a statement of economic interests for the preceding calendar year </w:t>
      </w:r>
      <w:r>
        <w:rPr>
          <w:strike/>
          <w:color w:val="000000" w:themeColor="text1"/>
        </w:rPr>
        <w:t>at the same time and with the same official with whom the candidate files</w:t>
      </w:r>
      <w:r>
        <w:rPr>
          <w:color w:val="000000" w:themeColor="text1"/>
        </w:rPr>
        <w:t xml:space="preserve"> </w:t>
      </w:r>
      <w:r>
        <w:rPr>
          <w:color w:val="000000" w:themeColor="text1"/>
          <w:u w:val="single" w:color="000000" w:themeColor="text1"/>
        </w:rPr>
        <w:t>pursuant to Section 8</w:t>
      </w:r>
      <w:r>
        <w:rPr>
          <w:color w:val="000000" w:themeColor="text1"/>
          <w:u w:val="single" w:color="000000" w:themeColor="text1"/>
        </w:rPr>
        <w:noBreakHyphen/>
        <w:t>13</w:t>
      </w:r>
      <w:r>
        <w:rPr>
          <w:color w:val="000000" w:themeColor="text1"/>
          <w:u w:val="single" w:color="000000" w:themeColor="text1"/>
        </w:rPr>
        <w:noBreakHyphen/>
      </w:r>
      <w:r>
        <w:rPr>
          <w:color w:val="000000" w:themeColor="text1"/>
          <w:u w:val="single"/>
        </w:rPr>
        <w:t>365 prior to the close of filing for the particular office</w:t>
      </w:r>
      <w:r>
        <w:rPr>
          <w:color w:val="000000" w:themeColor="text1"/>
        </w:rPr>
        <w:t xml:space="preserve"> </w:t>
      </w:r>
      <w:r>
        <w:rPr>
          <w:strike/>
          <w:color w:val="000000" w:themeColor="text1"/>
        </w:rPr>
        <w:t>a</w:t>
      </w:r>
      <w:r>
        <w:rPr>
          <w:color w:val="000000" w:themeColor="text1"/>
        </w:rPr>
        <w:t xml:space="preserve"> </w:t>
      </w:r>
      <w:r>
        <w:rPr>
          <w:strike/>
          <w:color w:val="000000" w:themeColor="text1"/>
        </w:rPr>
        <w:t>declaration of candidacy</w:t>
      </w:r>
      <w:r>
        <w:rPr>
          <w:color w:val="000000" w:themeColor="text1"/>
        </w:rPr>
        <w:t xml:space="preserve"> </w:t>
      </w:r>
      <w:r>
        <w:rPr>
          <w:strike/>
          <w:color w:val="000000" w:themeColor="text1"/>
        </w:rPr>
        <w:t>or petition for nomination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 xml:space="preserve">A person who becomes a candidate by filing a petition for nomination must electronically file a statement of economic interests for the preceding calendar year pursuant to Section 8-13-365 within fifteen days of submitting the petition pursuant to Section 7-11-70 or 7-11-71.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(C)</w:t>
      </w:r>
      <w:r>
        <w:rPr>
          <w:color w:val="000000" w:themeColor="text1"/>
        </w:rPr>
        <w:tab/>
      </w:r>
      <w:r>
        <w:rPr>
          <w:color w:val="000000" w:themeColor="text1"/>
          <w:u w:val="single"/>
        </w:rPr>
        <w:t xml:space="preserve">A person who becomes a write-in candidate must electronically file a statement of economic interests for the preceding calendar year within twenty-four hours of filing an initial campaign finance report pursuant to Section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rPr>
        <w:t>8-13-1308(A) or before taking the oath of office, whichever occurs earlier.</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(C)</w:t>
      </w:r>
      <w:r>
        <w:rPr>
          <w:color w:val="000000" w:themeColor="text1"/>
        </w:rPr>
        <w:tab/>
      </w:r>
      <w:r>
        <w:rPr>
          <w:strike/>
          <w:color w:val="000000" w:themeColor="text1"/>
        </w:rPr>
        <w:t>The official with whom the candidate files a declaration of candidacy or petition for nomination, no later than five business days after candidacy books close, must file a copy of the statement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(D)</w:t>
      </w:r>
      <w:r>
        <w:rPr>
          <w:color w:val="000000" w:themeColor="text1"/>
        </w:rPr>
        <w:tab/>
      </w:r>
      <w:r>
        <w:rPr>
          <w:strike/>
          <w:color w:val="000000" w:themeColor="text1"/>
        </w:rPr>
        <w:t>An individual who becomes a candidate other than by filing must, no later than fifteen business days after becoming a candidate, file a statement of economic interests for the preceding calendar year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(E)</w:t>
      </w:r>
      <w:r>
        <w:rPr>
          <w:color w:val="000000" w:themeColor="text1"/>
        </w:rPr>
        <w:tab/>
      </w:r>
      <w:r>
        <w:rPr>
          <w:strike/>
          <w:color w:val="000000" w:themeColor="text1"/>
        </w:rPr>
        <w:t xml:space="preserve">An officer authorized to receive declarations of candidacy and petitions for nominations under the provisions of Chapter 11 of Title 7 may not accept a declaration of candidacy or petition for nomination unless the declaration or petition is accompanied by a </w:t>
      </w:r>
      <w:r>
        <w:rPr>
          <w:strike/>
          <w:color w:val="000000" w:themeColor="text1"/>
        </w:rPr>
        <w:lastRenderedPageBreak/>
        <w:t>statement of economic interests.  If the candidate’s name inadvertently appears on the ballot, the officer authorized to receive declarations of candidacy or petitions for nomination must not certify the candidate subsequent to the election.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(F)</w:t>
      </w:r>
      <w:r>
        <w:rPr>
          <w:color w:val="000000" w:themeColor="text1"/>
        </w:rPr>
        <w:tab/>
      </w:r>
      <w:r>
        <w:rPr>
          <w:strike/>
          <w:color w:val="000000" w:themeColor="text1"/>
        </w:rPr>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(G)</w:t>
      </w:r>
      <w:r>
        <w:rPr>
          <w:color w:val="000000" w:themeColor="text1"/>
          <w:u w:val="single" w:color="000000" w:themeColor="text1"/>
        </w:rPr>
        <w:t>(D)</w:t>
      </w:r>
      <w:r>
        <w:rPr>
          <w:color w:val="000000" w:themeColor="text1"/>
        </w:rPr>
        <w:tab/>
        <w:t>A candidate who is not a public official otherwise filing a statement has the same disclosure requirements as a public official with the exception of reporting gifts.</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(H)</w:t>
      </w:r>
      <w:r>
        <w:rPr>
          <w:color w:val="000000" w:themeColor="text1"/>
        </w:rPr>
        <w:tab/>
      </w:r>
      <w:r>
        <w:rPr>
          <w:strike/>
          <w:color w:val="000000" w:themeColor="text1"/>
        </w:rPr>
        <w:t>The State Ethics Commission must furnish to each clerk of court in the State forms on which the statement of economic interests shall be filed.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(E)</w:t>
      </w:r>
      <w:r>
        <w:rPr>
          <w:color w:val="000000" w:themeColor="text1"/>
        </w:rPr>
        <w:tab/>
      </w:r>
      <w:r>
        <w:rPr>
          <w:color w:val="000000" w:themeColor="text1"/>
          <w:u w:val="single"/>
        </w:rPr>
        <w:t>The appropriate supervisory office shall assess a civil penalty pursuant to Section 8-13-1510 against a candidate who fails to timely file a statement of economic interests as required by this Section.</w:t>
      </w:r>
      <w:r w:rsidRPr="00186990">
        <w:rPr>
          <w:color w:val="000000" w:themeColor="text1"/>
        </w:rP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 xml:space="preserve">In order to educate various parties regarding the provisions contained in this act, the following notifications must be made: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 xml:space="preserve">(1) </w:t>
      </w:r>
      <w:r>
        <w:rPr>
          <w:rFonts w:eastAsia="Times New Roman"/>
          <w:snapToGrid w:val="0"/>
          <w:szCs w:val="20"/>
        </w:rPr>
        <w:tab/>
        <w:t xml:space="preserve">The State Election Commission must notify each county election commission of the provisions of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(2)</w:t>
      </w:r>
      <w:r>
        <w:rPr>
          <w:rFonts w:eastAsia="Times New Roman"/>
          <w:snapToGrid w:val="0"/>
          <w:szCs w:val="20"/>
        </w:rPr>
        <w:tab/>
        <w:t xml:space="preserve">The State Election Commission must post the provisions of this act on its website.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(3)</w:t>
      </w:r>
      <w:r>
        <w:rPr>
          <w:rFonts w:eastAsia="Times New Roman"/>
          <w:snapToGrid w:val="0"/>
          <w:szCs w:val="20"/>
        </w:rPr>
        <w:tab/>
        <w:t>Each state party executive committee must notify their respective county executive parties of the provisions of this act.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11.</w:t>
      </w:r>
      <w: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12.</w:t>
      </w:r>
      <w:r>
        <w:rPr>
          <w:color w:val="000000" w:themeColor="text1"/>
        </w:rPr>
        <w:tab/>
        <w:t xml:space="preserve">The provisions of this act are severable.  If any section, subsection, paragraph, subparagraph, item, subitem, sentence, clause, phrase, or word of this act is for any reason held </w:t>
      </w:r>
      <w:r>
        <w:rPr>
          <w:color w:val="000000" w:themeColor="text1"/>
        </w:rPr>
        <w:lastRenderedPageBreak/>
        <w:t xml:space="preserve">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13.</w:t>
      </w:r>
      <w:r>
        <w:rPr>
          <w:color w:val="000000" w:themeColor="text1"/>
        </w:rPr>
        <w:tab/>
        <w:t>This act takes effect upon preclearance approval by the United States Department of Justice or approval by a declaratory judgment issued by the United States District Court for the District of Columbia, whichever occurs first.</w:t>
      </w:r>
      <w:r>
        <w:rPr>
          <w:color w:val="000000" w:themeColor="text1"/>
        </w:rPr>
        <w:tab/>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990" w:rsidRDefault="00186990" w:rsidP="00186990">
      <w:pPr>
        <w:suppressAutoHyphens/>
        <w:jc w:val="both"/>
        <w:rPr>
          <w:rFonts w:eastAsia="Times New Roman"/>
        </w:rPr>
      </w:pPr>
    </w:p>
    <w:p w:rsidR="00202790" w:rsidRDefault="00202790" w:rsidP="004905A1">
      <w:pPr>
        <w:suppressAutoHyphens/>
        <w:jc w:val="both"/>
        <w:rPr>
          <w:rFonts w:eastAsia="Times New Roman"/>
        </w:rPr>
      </w:pPr>
    </w:p>
    <w:sectPr w:rsidR="002027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136" w:rsidRDefault="00142136" w:rsidP="00522CE0">
      <w:r>
        <w:separator/>
      </w:r>
    </w:p>
  </w:endnote>
  <w:endnote w:type="continuationSeparator" w:id="0">
    <w:p w:rsidR="00142136" w:rsidRDefault="0014213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3CFB21-880C-49F4-A1B0-02F0C04AC486}"/>
    <w:embedBold r:id="rId2" w:fontKey="{1B530C69-5495-4B46-9EDE-0EE776205081}"/>
  </w:font>
  <w:font w:name="Calibri">
    <w:panose1 w:val="020F0502020204030204"/>
    <w:charset w:val="00"/>
    <w:family w:val="swiss"/>
    <w:pitch w:val="variable"/>
    <w:sig w:usb0="E10002FF" w:usb1="4000ACFF" w:usb2="00000009" w:usb3="00000000" w:csb0="0000019F" w:csb1="00000000"/>
    <w:embedRegular r:id="rId3" w:fontKey="{D05C69F4-13E8-4BB0-B4D0-3ED5E909CF17}"/>
  </w:font>
  <w:font w:name="Cambria">
    <w:panose1 w:val="02040503050406030204"/>
    <w:charset w:val="00"/>
    <w:family w:val="roman"/>
    <w:pitch w:val="variable"/>
    <w:sig w:usb0="E00002FF" w:usb1="400004FF" w:usb2="00000000" w:usb3="00000000" w:csb0="0000019F" w:csb1="00000000"/>
    <w:embedRegular r:id="rId4" w:fontKey="{7EF8261F-ACB3-4108-944D-3EE6C7588F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1D0" w:rsidRPr="00202790" w:rsidRDefault="00B141D0" w:rsidP="00202790">
    <w:pPr>
      <w:pStyle w:val="Footer"/>
      <w:tabs>
        <w:tab w:val="clear" w:pos="4680"/>
        <w:tab w:val="clear" w:pos="9360"/>
        <w:tab w:val="center" w:pos="2995"/>
      </w:tabs>
      <w:spacing w:before="120"/>
    </w:pPr>
    <w:r>
      <w:t>[2</w:t>
    </w:r>
    <w:r w:rsidR="004C2BCC">
      <w:t>-</w:t>
    </w:r>
    <w:fldSimple w:instr=" PAGE  \* MERGEFORMAT ">
      <w:r w:rsidR="004905A1">
        <w:rPr>
          <w:noProof/>
        </w:rPr>
        <w:t>1</w:t>
      </w:r>
    </w:fldSimple>
    <w:r w:rsidR="004C2B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BCC" w:rsidRPr="00202790" w:rsidRDefault="004C2BCC" w:rsidP="00202790">
    <w:pPr>
      <w:pStyle w:val="Footer"/>
      <w:tabs>
        <w:tab w:val="clear" w:pos="4680"/>
        <w:tab w:val="clear" w:pos="9360"/>
        <w:tab w:val="center" w:pos="2995"/>
      </w:tabs>
      <w:spacing w:before="120"/>
    </w:pPr>
    <w:r>
      <w:t>[2]</w:t>
    </w:r>
    <w:r>
      <w:tab/>
    </w:r>
    <w:fldSimple w:instr=" PAGE  \* MERGEFORMAT ">
      <w:r w:rsidR="004905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136" w:rsidRDefault="00142136" w:rsidP="00522CE0">
      <w:r>
        <w:separator/>
      </w:r>
    </w:p>
  </w:footnote>
  <w:footnote w:type="continuationSeparator" w:id="0">
    <w:p w:rsidR="00142136" w:rsidRDefault="0014213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A4D08"/>
    <w:rsid w:val="000A6988"/>
    <w:rsid w:val="000B0720"/>
    <w:rsid w:val="000B5EAF"/>
    <w:rsid w:val="000E473B"/>
    <w:rsid w:val="000F002B"/>
    <w:rsid w:val="00107C3D"/>
    <w:rsid w:val="00126995"/>
    <w:rsid w:val="00142136"/>
    <w:rsid w:val="0016543B"/>
    <w:rsid w:val="00170561"/>
    <w:rsid w:val="00186990"/>
    <w:rsid w:val="00186AC9"/>
    <w:rsid w:val="00190F47"/>
    <w:rsid w:val="00197DF1"/>
    <w:rsid w:val="001B3DD9"/>
    <w:rsid w:val="001C23C9"/>
    <w:rsid w:val="001D3BAC"/>
    <w:rsid w:val="00202790"/>
    <w:rsid w:val="00206D3D"/>
    <w:rsid w:val="0024519E"/>
    <w:rsid w:val="00245C4E"/>
    <w:rsid w:val="00255080"/>
    <w:rsid w:val="002C5896"/>
    <w:rsid w:val="00307C2B"/>
    <w:rsid w:val="0031409E"/>
    <w:rsid w:val="0032109A"/>
    <w:rsid w:val="00333DF1"/>
    <w:rsid w:val="0033541C"/>
    <w:rsid w:val="00364389"/>
    <w:rsid w:val="00390AFA"/>
    <w:rsid w:val="00395F34"/>
    <w:rsid w:val="003D353C"/>
    <w:rsid w:val="003D64BE"/>
    <w:rsid w:val="003D6A5D"/>
    <w:rsid w:val="003D6E2B"/>
    <w:rsid w:val="003E7597"/>
    <w:rsid w:val="00412C9E"/>
    <w:rsid w:val="0042257B"/>
    <w:rsid w:val="00450668"/>
    <w:rsid w:val="00452CD7"/>
    <w:rsid w:val="00477696"/>
    <w:rsid w:val="004905A1"/>
    <w:rsid w:val="004952FA"/>
    <w:rsid w:val="004A05F7"/>
    <w:rsid w:val="004A5203"/>
    <w:rsid w:val="004A592F"/>
    <w:rsid w:val="004B6A22"/>
    <w:rsid w:val="004C2918"/>
    <w:rsid w:val="004C2BCC"/>
    <w:rsid w:val="004D168C"/>
    <w:rsid w:val="004D6923"/>
    <w:rsid w:val="004D7F37"/>
    <w:rsid w:val="0051584C"/>
    <w:rsid w:val="00520D79"/>
    <w:rsid w:val="00522CE0"/>
    <w:rsid w:val="00525DCD"/>
    <w:rsid w:val="00541FF6"/>
    <w:rsid w:val="00565148"/>
    <w:rsid w:val="00566152"/>
    <w:rsid w:val="00581497"/>
    <w:rsid w:val="00586B30"/>
    <w:rsid w:val="0058748C"/>
    <w:rsid w:val="00593361"/>
    <w:rsid w:val="005A5017"/>
    <w:rsid w:val="005A648C"/>
    <w:rsid w:val="005F15E4"/>
    <w:rsid w:val="00600221"/>
    <w:rsid w:val="00606D23"/>
    <w:rsid w:val="00641A16"/>
    <w:rsid w:val="006431BA"/>
    <w:rsid w:val="006B4B3C"/>
    <w:rsid w:val="006C74EA"/>
    <w:rsid w:val="006E4E07"/>
    <w:rsid w:val="00720D40"/>
    <w:rsid w:val="007318D4"/>
    <w:rsid w:val="00746551"/>
    <w:rsid w:val="00765784"/>
    <w:rsid w:val="007A4390"/>
    <w:rsid w:val="007C65B0"/>
    <w:rsid w:val="007E3B8F"/>
    <w:rsid w:val="007E5CB7"/>
    <w:rsid w:val="00814EED"/>
    <w:rsid w:val="008252D0"/>
    <w:rsid w:val="008314D2"/>
    <w:rsid w:val="00841668"/>
    <w:rsid w:val="008804AE"/>
    <w:rsid w:val="00882203"/>
    <w:rsid w:val="00894939"/>
    <w:rsid w:val="008B2F42"/>
    <w:rsid w:val="008E185F"/>
    <w:rsid w:val="008E5870"/>
    <w:rsid w:val="008F023B"/>
    <w:rsid w:val="008F7524"/>
    <w:rsid w:val="00904E16"/>
    <w:rsid w:val="00925B11"/>
    <w:rsid w:val="00927C62"/>
    <w:rsid w:val="00931A96"/>
    <w:rsid w:val="00983951"/>
    <w:rsid w:val="00984124"/>
    <w:rsid w:val="00984640"/>
    <w:rsid w:val="00995C37"/>
    <w:rsid w:val="009A7B72"/>
    <w:rsid w:val="009C118A"/>
    <w:rsid w:val="009C62AA"/>
    <w:rsid w:val="00A02011"/>
    <w:rsid w:val="00A35165"/>
    <w:rsid w:val="00A4011E"/>
    <w:rsid w:val="00A41565"/>
    <w:rsid w:val="00A7324B"/>
    <w:rsid w:val="00A86015"/>
    <w:rsid w:val="00AE59C8"/>
    <w:rsid w:val="00B030B6"/>
    <w:rsid w:val="00B10098"/>
    <w:rsid w:val="00B10E10"/>
    <w:rsid w:val="00B141D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E40F08"/>
    <w:rsid w:val="00E677A1"/>
    <w:rsid w:val="00E91E2F"/>
    <w:rsid w:val="00EA3546"/>
    <w:rsid w:val="00EB1AAC"/>
    <w:rsid w:val="00EB47AE"/>
    <w:rsid w:val="00EC34E1"/>
    <w:rsid w:val="00ED0AE1"/>
    <w:rsid w:val="00F0234A"/>
    <w:rsid w:val="00F3586B"/>
    <w:rsid w:val="00F52959"/>
    <w:rsid w:val="00F532D4"/>
    <w:rsid w:val="00F55766"/>
    <w:rsid w:val="00F55884"/>
    <w:rsid w:val="00F817AF"/>
    <w:rsid w:val="00FB5399"/>
    <w:rsid w:val="00FC0450"/>
    <w:rsid w:val="00FC0D36"/>
    <w:rsid w:val="00FC536C"/>
    <w:rsid w:val="00FD64F9"/>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1988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9181C-8237-4500-BB77-F2C6EE609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3644</Words>
  <Characters>20775</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2013-01-17T19:20:00Z</cp:lastPrinted>
  <dcterms:created xsi:type="dcterms:W3CDTF">2013-01-17T19:22:00Z</dcterms:created>
  <dcterms:modified xsi:type="dcterms:W3CDTF">2013-01-17T19:22:00Z</dcterms:modified>
</cp:coreProperties>
</file>