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E43" w:rsidRDefault="00357E43" w:rsidP="00357E43">
      <w:pPr>
        <w:widowControl w:val="0"/>
        <w:jc w:val="center"/>
      </w:pPr>
      <w:bookmarkStart w:id="0" w:name="_GoBack"/>
      <w:bookmarkEnd w:id="0"/>
      <w:r w:rsidRPr="00357E43">
        <w:rPr>
          <w:b/>
        </w:rPr>
        <w:t>South Carolina General Assembly</w:t>
      </w:r>
    </w:p>
    <w:p w:rsidR="00357E43" w:rsidRDefault="00357E43" w:rsidP="00357E43">
      <w:pPr>
        <w:widowControl w:val="0"/>
        <w:jc w:val="center"/>
      </w:pPr>
      <w:r>
        <w:t>121st Session, 2015-2016</w:t>
      </w:r>
    </w:p>
    <w:p w:rsidR="00357E43" w:rsidRDefault="00357E43" w:rsidP="00357E43">
      <w:pPr>
        <w:widowControl w:val="0"/>
        <w:jc w:val="left"/>
      </w:pPr>
    </w:p>
    <w:p w:rsidR="00357E43" w:rsidRDefault="00357E43" w:rsidP="00357E43">
      <w:pPr>
        <w:widowControl w:val="0"/>
        <w:jc w:val="left"/>
        <w:rPr>
          <w:b/>
        </w:rPr>
      </w:pPr>
      <w:r w:rsidRPr="00357E43">
        <w:rPr>
          <w:b/>
        </w:rPr>
        <w:t>H. 3032</w:t>
      </w:r>
    </w:p>
    <w:p w:rsidR="00357E43" w:rsidRDefault="00357E43" w:rsidP="00357E43">
      <w:pPr>
        <w:widowControl w:val="0"/>
        <w:jc w:val="left"/>
        <w:rPr>
          <w:b/>
        </w:rPr>
      </w:pPr>
    </w:p>
    <w:p w:rsidR="00357E43" w:rsidRDefault="00357E43" w:rsidP="00357E43">
      <w:pPr>
        <w:widowControl w:val="0"/>
        <w:jc w:val="left"/>
      </w:pPr>
      <w:r w:rsidRPr="00357E43">
        <w:rPr>
          <w:b/>
        </w:rPr>
        <w:t>STATUS INFORMATION</w:t>
      </w:r>
    </w:p>
    <w:p w:rsidR="00357E43" w:rsidRDefault="00357E43" w:rsidP="00357E43">
      <w:pPr>
        <w:widowControl w:val="0"/>
        <w:jc w:val="left"/>
      </w:pPr>
    </w:p>
    <w:p w:rsidR="00357E43" w:rsidRDefault="00357E43" w:rsidP="00357E43">
      <w:pPr>
        <w:widowControl w:val="0"/>
        <w:jc w:val="left"/>
      </w:pPr>
      <w:r>
        <w:t>General Bill</w:t>
      </w:r>
    </w:p>
    <w:p w:rsidR="00357E43" w:rsidRDefault="000F3321" w:rsidP="00357E43">
      <w:pPr>
        <w:widowControl w:val="0"/>
        <w:jc w:val="left"/>
      </w:pPr>
      <w:r>
        <w:t>Sponsors: Reps. Cobb</w:t>
      </w:r>
      <w:r>
        <w:noBreakHyphen/>
        <w:t>Hunter, Long, Bamberg, Henegan and M.S. McLeod</w:t>
      </w:r>
    </w:p>
    <w:p w:rsidR="00357E43" w:rsidRDefault="00357E43" w:rsidP="00357E43">
      <w:pPr>
        <w:widowControl w:val="0"/>
        <w:jc w:val="left"/>
      </w:pPr>
      <w:r>
        <w:t>Document Path: l:\council\bills\ms\7018ahb15.docx</w:t>
      </w:r>
    </w:p>
    <w:p w:rsidR="00357E43" w:rsidRDefault="00357E43" w:rsidP="00357E43">
      <w:pPr>
        <w:widowControl w:val="0"/>
        <w:jc w:val="left"/>
      </w:pPr>
    </w:p>
    <w:p w:rsidR="00035B24" w:rsidRDefault="00035B24" w:rsidP="00357E43">
      <w:pPr>
        <w:widowControl w:val="0"/>
        <w:jc w:val="left"/>
      </w:pPr>
      <w:r>
        <w:t>Introduced in the House on January 13, 2015</w:t>
      </w:r>
    </w:p>
    <w:p w:rsidR="00035B24" w:rsidRPr="00035B24" w:rsidRDefault="00035B24" w:rsidP="00357E43">
      <w:pPr>
        <w:widowControl w:val="0"/>
        <w:jc w:val="left"/>
      </w:pPr>
      <w:r>
        <w:t xml:space="preserve">Currently residing in the House Committee on </w:t>
      </w:r>
      <w:r w:rsidRPr="00035B24">
        <w:rPr>
          <w:b/>
        </w:rPr>
        <w:t>Judiciary</w:t>
      </w:r>
    </w:p>
    <w:p w:rsidR="00035B24" w:rsidRDefault="00035B24" w:rsidP="00357E43">
      <w:pPr>
        <w:widowControl w:val="0"/>
        <w:jc w:val="left"/>
      </w:pPr>
    </w:p>
    <w:p w:rsidR="00357E43" w:rsidRDefault="00357E43" w:rsidP="00357E43">
      <w:pPr>
        <w:widowControl w:val="0"/>
        <w:jc w:val="left"/>
      </w:pPr>
      <w:r>
        <w:t xml:space="preserve">Summary: </w:t>
      </w:r>
      <w:r w:rsidR="00780812">
        <w:t>Criminal offenses of strangulation and smothering</w:t>
      </w:r>
    </w:p>
    <w:p w:rsidR="00357E43" w:rsidRDefault="00357E43" w:rsidP="00357E43">
      <w:pPr>
        <w:widowControl w:val="0"/>
        <w:jc w:val="left"/>
      </w:pPr>
    </w:p>
    <w:p w:rsidR="00357E43" w:rsidRDefault="00357E43" w:rsidP="00357E43">
      <w:pPr>
        <w:widowControl w:val="0"/>
        <w:jc w:val="left"/>
      </w:pPr>
    </w:p>
    <w:p w:rsidR="00357E43" w:rsidRDefault="00357E43" w:rsidP="00357E43">
      <w:pPr>
        <w:widowControl w:val="0"/>
        <w:tabs>
          <w:tab w:val="center" w:pos="590"/>
          <w:tab w:val="center" w:pos="1440"/>
          <w:tab w:val="left" w:pos="1872"/>
          <w:tab w:val="left" w:pos="9187"/>
        </w:tabs>
        <w:jc w:val="left"/>
      </w:pPr>
      <w:r w:rsidRPr="00357E43">
        <w:rPr>
          <w:b/>
        </w:rPr>
        <w:t>HISTORY OF LEGISLATIVE ACTIONS</w:t>
      </w:r>
    </w:p>
    <w:p w:rsidR="00357E43" w:rsidRDefault="00357E43" w:rsidP="00357E43">
      <w:pPr>
        <w:widowControl w:val="0"/>
        <w:tabs>
          <w:tab w:val="center" w:pos="590"/>
          <w:tab w:val="center" w:pos="1440"/>
          <w:tab w:val="left" w:pos="1872"/>
          <w:tab w:val="left" w:pos="9187"/>
        </w:tabs>
        <w:jc w:val="left"/>
      </w:pPr>
    </w:p>
    <w:p w:rsidR="00357E43" w:rsidRPr="00357E43" w:rsidRDefault="00357E43" w:rsidP="00357E43">
      <w:pPr>
        <w:widowControl w:val="0"/>
        <w:tabs>
          <w:tab w:val="center" w:pos="590"/>
          <w:tab w:val="center" w:pos="1440"/>
          <w:tab w:val="left" w:pos="1872"/>
          <w:tab w:val="left" w:pos="9187"/>
        </w:tabs>
        <w:jc w:val="left"/>
      </w:pPr>
      <w:r w:rsidRPr="00357E43">
        <w:rPr>
          <w:u w:val="single"/>
        </w:rPr>
        <w:tab/>
        <w:t>Date</w:t>
      </w:r>
      <w:r w:rsidRPr="00357E43">
        <w:rPr>
          <w:u w:val="single"/>
        </w:rPr>
        <w:tab/>
        <w:t>Body</w:t>
      </w:r>
      <w:r w:rsidRPr="00357E43">
        <w:rPr>
          <w:u w:val="single"/>
        </w:rPr>
        <w:tab/>
        <w:t>Action Description with journal page number</w:t>
      </w:r>
      <w:r w:rsidRPr="00357E43">
        <w:rPr>
          <w:u w:val="single"/>
        </w:rPr>
        <w:tab/>
      </w:r>
    </w:p>
    <w:p w:rsidR="00731968" w:rsidRDefault="00731968" w:rsidP="00731968">
      <w:pPr>
        <w:widowControl w:val="0"/>
        <w:tabs>
          <w:tab w:val="right" w:pos="1008"/>
          <w:tab w:val="left" w:pos="1152"/>
          <w:tab w:val="left" w:pos="1872"/>
          <w:tab w:val="left" w:pos="9187"/>
        </w:tabs>
        <w:ind w:left="2088" w:hanging="2088"/>
        <w:jc w:val="left"/>
      </w:pPr>
      <w:r>
        <w:tab/>
        <w:t>12/11/2014</w:t>
      </w:r>
      <w:r>
        <w:tab/>
        <w:t>House</w:t>
      </w:r>
      <w:r>
        <w:tab/>
      </w:r>
      <w:r w:rsidRPr="0015026E">
        <w:t>Prefiled</w:t>
      </w:r>
    </w:p>
    <w:p w:rsidR="00731968" w:rsidRDefault="00731968" w:rsidP="00731968">
      <w:pPr>
        <w:widowControl w:val="0"/>
        <w:tabs>
          <w:tab w:val="right" w:pos="1008"/>
          <w:tab w:val="left" w:pos="1152"/>
          <w:tab w:val="left" w:pos="1872"/>
          <w:tab w:val="left" w:pos="9187"/>
        </w:tabs>
        <w:ind w:left="2088" w:hanging="2088"/>
        <w:jc w:val="left"/>
      </w:pPr>
      <w:r>
        <w:tab/>
        <w:t>12/11/2014</w:t>
      </w:r>
      <w:r>
        <w:tab/>
        <w:t>House</w:t>
      </w:r>
      <w:r>
        <w:tab/>
      </w:r>
      <w:r w:rsidRPr="0015026E">
        <w:t xml:space="preserve">Referred to Committee on </w:t>
      </w:r>
      <w:r w:rsidRPr="0015026E">
        <w:rPr>
          <w:b/>
        </w:rPr>
        <w:t>Judiciary</w:t>
      </w:r>
    </w:p>
    <w:p w:rsidR="00731968" w:rsidRDefault="00731968" w:rsidP="00731968">
      <w:pPr>
        <w:widowControl w:val="0"/>
        <w:tabs>
          <w:tab w:val="right" w:pos="1008"/>
          <w:tab w:val="left" w:pos="1152"/>
          <w:tab w:val="left" w:pos="1872"/>
          <w:tab w:val="left" w:pos="9187"/>
        </w:tabs>
        <w:ind w:left="2088" w:hanging="2088"/>
        <w:jc w:val="left"/>
      </w:pPr>
      <w:r>
        <w:tab/>
        <w:t>1/13/2015</w:t>
      </w:r>
      <w:r>
        <w:tab/>
        <w:t>House</w:t>
      </w:r>
      <w:r>
        <w:tab/>
      </w:r>
      <w:r w:rsidRPr="0015026E">
        <w:t>Introduced and read first time (</w:t>
      </w:r>
      <w:hyperlink r:id="rId7" w:history="1">
        <w:r w:rsidRPr="005B1685">
          <w:rPr>
            <w:rStyle w:val="Hyperlink"/>
          </w:rPr>
          <w:t>House Journal</w:t>
        </w:r>
        <w:r w:rsidRPr="005B1685">
          <w:rPr>
            <w:rStyle w:val="Hyperlink"/>
          </w:rPr>
          <w:noBreakHyphen/>
          <w:t>page 70</w:t>
        </w:r>
      </w:hyperlink>
      <w:r w:rsidRPr="0015026E">
        <w:t>)</w:t>
      </w:r>
    </w:p>
    <w:p w:rsidR="00731968" w:rsidRDefault="00731968" w:rsidP="00731968">
      <w:pPr>
        <w:widowControl w:val="0"/>
        <w:tabs>
          <w:tab w:val="right" w:pos="1008"/>
          <w:tab w:val="left" w:pos="1152"/>
          <w:tab w:val="left" w:pos="1872"/>
          <w:tab w:val="left" w:pos="9187"/>
        </w:tabs>
        <w:ind w:left="2088" w:hanging="2088"/>
        <w:jc w:val="left"/>
      </w:pPr>
      <w:r>
        <w:tab/>
        <w:t>1/13/2015</w:t>
      </w:r>
      <w:r>
        <w:tab/>
        <w:t>House</w:t>
      </w:r>
      <w:r>
        <w:tab/>
      </w:r>
      <w:r w:rsidRPr="0015026E">
        <w:t>Ref</w:t>
      </w:r>
      <w:r>
        <w:t xml:space="preserve">erred to Committee on </w:t>
      </w:r>
      <w:r w:rsidRPr="0015026E">
        <w:rPr>
          <w:b/>
        </w:rPr>
        <w:t>Judiciary</w:t>
      </w:r>
      <w:r>
        <w:t xml:space="preserve"> </w:t>
      </w:r>
      <w:r w:rsidRPr="0015026E">
        <w:t>(</w:t>
      </w:r>
      <w:hyperlink r:id="rId8" w:history="1">
        <w:r w:rsidRPr="005B1685">
          <w:rPr>
            <w:rStyle w:val="Hyperlink"/>
          </w:rPr>
          <w:t>House Journal</w:t>
        </w:r>
        <w:r w:rsidRPr="005B1685">
          <w:rPr>
            <w:rStyle w:val="Hyperlink"/>
          </w:rPr>
          <w:noBreakHyphen/>
          <w:t>page 70</w:t>
        </w:r>
      </w:hyperlink>
      <w:r w:rsidRPr="0015026E">
        <w:t>)</w:t>
      </w:r>
    </w:p>
    <w:p w:rsidR="00731968" w:rsidRDefault="00731968" w:rsidP="00731968">
      <w:pPr>
        <w:widowControl w:val="0"/>
        <w:tabs>
          <w:tab w:val="right" w:pos="1008"/>
          <w:tab w:val="left" w:pos="1152"/>
          <w:tab w:val="left" w:pos="1872"/>
          <w:tab w:val="left" w:pos="9187"/>
        </w:tabs>
        <w:ind w:left="2088" w:hanging="2088"/>
        <w:jc w:val="left"/>
      </w:pPr>
    </w:p>
    <w:p w:rsidR="00357E43" w:rsidRDefault="00357E43" w:rsidP="00357E43">
      <w:pPr>
        <w:widowControl w:val="0"/>
        <w:tabs>
          <w:tab w:val="right" w:pos="1008"/>
          <w:tab w:val="left" w:pos="1152"/>
          <w:tab w:val="left" w:pos="1872"/>
          <w:tab w:val="left" w:pos="9187"/>
        </w:tabs>
        <w:ind w:left="2088" w:hanging="2088"/>
        <w:jc w:val="left"/>
      </w:pPr>
      <w:r>
        <w:t xml:space="preserve">View the latest </w:t>
      </w:r>
      <w:hyperlink r:id="rId9" w:history="1">
        <w:r w:rsidRPr="00357E43">
          <w:rPr>
            <w:rStyle w:val="Hyperlink"/>
          </w:rPr>
          <w:t>legislative information</w:t>
        </w:r>
      </w:hyperlink>
      <w:r>
        <w:t xml:space="preserve"> at the website</w:t>
      </w:r>
    </w:p>
    <w:p w:rsidR="00357E43" w:rsidRDefault="00357E43" w:rsidP="00357E43">
      <w:pPr>
        <w:widowControl w:val="0"/>
        <w:tabs>
          <w:tab w:val="right" w:pos="1008"/>
          <w:tab w:val="left" w:pos="1152"/>
          <w:tab w:val="left" w:pos="1872"/>
          <w:tab w:val="left" w:pos="9187"/>
        </w:tabs>
        <w:ind w:left="2088" w:hanging="2088"/>
        <w:jc w:val="left"/>
      </w:pPr>
    </w:p>
    <w:p w:rsidR="00357E43" w:rsidRPr="00357E43" w:rsidRDefault="00357E43" w:rsidP="00357E43">
      <w:pPr>
        <w:widowControl w:val="0"/>
        <w:tabs>
          <w:tab w:val="right" w:pos="1008"/>
          <w:tab w:val="left" w:pos="1152"/>
          <w:tab w:val="left" w:pos="1872"/>
          <w:tab w:val="left" w:pos="9187"/>
        </w:tabs>
        <w:ind w:left="2088" w:hanging="2088"/>
        <w:jc w:val="left"/>
      </w:pPr>
    </w:p>
    <w:p w:rsidR="00357E43" w:rsidRDefault="00357E43" w:rsidP="00357E43">
      <w:pPr>
        <w:widowControl w:val="0"/>
        <w:jc w:val="left"/>
      </w:pPr>
      <w:r w:rsidRPr="00357E43">
        <w:rPr>
          <w:b/>
        </w:rPr>
        <w:t>VERSIONS OF THIS BILL</w:t>
      </w:r>
    </w:p>
    <w:p w:rsidR="00357E43" w:rsidRDefault="00357E43" w:rsidP="00357E43">
      <w:pPr>
        <w:widowControl w:val="0"/>
        <w:jc w:val="left"/>
      </w:pPr>
    </w:p>
    <w:p w:rsidR="00357E43" w:rsidRDefault="005B1685" w:rsidP="00357E43">
      <w:pPr>
        <w:widowControl w:val="0"/>
        <w:jc w:val="left"/>
      </w:pPr>
      <w:hyperlink r:id="rId10" w:history="1">
        <w:r w:rsidR="00357E43">
          <w:rPr>
            <w:rStyle w:val="Hyperlink"/>
          </w:rPr>
          <w:t>12/11/2014</w:t>
        </w:r>
      </w:hyperlink>
    </w:p>
    <w:p w:rsidR="00357E43" w:rsidRDefault="00357E43" w:rsidP="00357E43"/>
    <w:p w:rsidR="00357E43" w:rsidRDefault="00357E43" w:rsidP="00357E43">
      <w:pPr>
        <w:sectPr w:rsidR="00357E43" w:rsidSect="00357E43">
          <w:pgSz w:w="12240" w:h="15840" w:code="1"/>
          <w:pgMar w:top="1080" w:right="1440" w:bottom="1080" w:left="1440" w:header="720" w:footer="720" w:gutter="0"/>
          <w:cols w:space="720"/>
          <w:noEndnote/>
          <w:docGrid w:linePitch="360"/>
        </w:sectPr>
      </w:pPr>
    </w:p>
    <w:p w:rsidR="005B474C" w:rsidRDefault="005B474C"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59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49B2" w:rsidP="000A3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noBreakHyphen/>
        <w:t>3</w:t>
      </w:r>
      <w:r>
        <w:noBreakHyphen/>
        <w:t>1030 SO AS TO ESTABLISH THE FELONY OFFENSE OF STRANGULATION AND THE FELONY OFFENSE OF SMOTHERING AND TO PROVIDE PENALTIES; TO AMEND SECTION 16</w:t>
      </w:r>
      <w:r>
        <w:noBreakHyphen/>
        <w:t>25</w:t>
      </w:r>
      <w:r>
        <w:noBreakHyphen/>
        <w:t>65, AS AMENDED, RELATING TO THE OFFENSE OF CRIMINAL DOMESTIC VIOLENCE OF A HIGH AND AGGRAVATED NATURE, SO AS TO PROVIDE THAT STRANGULATION AND SMOTHERING ARE BOTH CRIMINAL DOMESTIC VIOLENCE OF A HIGH AND AGGRAVATED NATURE AND TO DEFINE SERIOUS BODILY INJURY AND PETECHIA.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59F4" w:rsidRDefault="00A559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9F4" w:rsidRDefault="00A559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9B2" w:rsidRDefault="00A559F4"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349B2">
        <w:t>Article 11, Chapter 3, Title 16 of the 1976 Code is amended by adding:</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1030.</w:t>
      </w:r>
      <w:r>
        <w:tab/>
        <w:t>(A)</w:t>
      </w:r>
      <w:r>
        <w:tab/>
        <w:t>It is unlawful for a person to intentionally impede the normal breathing or circulation of blood by:</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applying pressure on the throat or neck; or </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blocking the nose or mouth of another person.</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violates the provisions of subsection (A)(1) is guilty of the felony offense of strangulation and, upon conviction, must be imprisoned not more than five years.</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 violates the provisions of subsection (A)(2) is guilty of the felony offense of smothering and, upon conviction, must be imprisoned not more than five years.”</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25</w:t>
      </w:r>
      <w:r>
        <w:noBreakHyphen/>
        <w:t>65 of the 1976 Code, as last amended by Act 166 of 2005, is further amended to read:</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25</w:t>
      </w:r>
      <w:r>
        <w:noBreakHyphen/>
        <w:t>65.</w:t>
      </w:r>
      <w:r>
        <w:tab/>
        <w:t>(A)</w:t>
      </w:r>
      <w:r>
        <w:tab/>
      </w:r>
      <w:r>
        <w:rPr>
          <w:szCs w:val="24"/>
        </w:rPr>
        <w:t>A person who violates Section 16</w:t>
      </w:r>
      <w:r>
        <w:rPr>
          <w:szCs w:val="24"/>
        </w:rPr>
        <w:noBreakHyphen/>
        <w:t>25</w:t>
      </w:r>
      <w:r>
        <w:rPr>
          <w:szCs w:val="24"/>
        </w:rPr>
        <w:noBreakHyphen/>
        <w:t>20(A) is guilty of the offense of criminal domestic violence of a high and aggravated nature when one of the following occurs</w:t>
      </w:r>
      <w:r w:rsidRPr="00833C6B">
        <w:rPr>
          <w:strike/>
          <w:szCs w:val="24"/>
        </w:rPr>
        <w:t>.</w:t>
      </w:r>
      <w:r>
        <w:rPr>
          <w:szCs w:val="24"/>
          <w:u w:val="single"/>
        </w:rPr>
        <w:t xml:space="preserve">, </w:t>
      </w:r>
      <w:r w:rsidRPr="00833C6B">
        <w:rPr>
          <w:szCs w:val="24"/>
        </w:rPr>
        <w:t>t</w:t>
      </w:r>
      <w:r>
        <w:rPr>
          <w:szCs w:val="24"/>
        </w:rPr>
        <w:t xml:space="preserve">he person commits: </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(1)</w:t>
      </w:r>
      <w:r>
        <w:rPr>
          <w:szCs w:val="24"/>
        </w:rPr>
        <w:tab/>
        <w:t xml:space="preserve">an assault and battery which involves the use of a deadly weapon or results in serious bodily injury to the victim; </w:t>
      </w:r>
      <w:r>
        <w:rPr>
          <w:strike/>
          <w:szCs w:val="24"/>
        </w:rPr>
        <w:t>or</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t>an assault, with or without an accompanying battery, which would reasonably cause a person to fear imminent serious bodily injury or death</w:t>
      </w:r>
      <w:r>
        <w:rPr>
          <w:u w:val="single"/>
        </w:rPr>
        <w:t>; or</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Pr>
          <w:u w:val="single"/>
        </w:rPr>
        <w:t>an assault and battery by committing the offense of strangulation or the offense of smothering, or both, as both are provided for in Section 16</w:t>
      </w:r>
      <w:r>
        <w:rPr>
          <w:u w:val="single"/>
        </w:rPr>
        <w:noBreakHyphen/>
        <w:t>3</w:t>
      </w:r>
      <w:r>
        <w:rPr>
          <w:u w:val="single"/>
        </w:rPr>
        <w:noBreakHyphen/>
        <w:t>1030, which results in serious bodily injury or death</w:t>
      </w:r>
      <w:r>
        <w:t>.</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person who violates subsection (A) is guilty of a felony and, upon conviction, must be imprisoned not less than a mandatory minimum of one year </w:t>
      </w:r>
      <w:r>
        <w:rPr>
          <w:strike/>
          <w:szCs w:val="24"/>
        </w:rPr>
        <w:t>nor</w:t>
      </w:r>
      <w:r>
        <w:rPr>
          <w:szCs w:val="24"/>
        </w:rPr>
        <w:t xml:space="preserve"> </w:t>
      </w:r>
      <w:r>
        <w:rPr>
          <w:szCs w:val="24"/>
          <w:u w:val="single"/>
        </w:rPr>
        <w:t>and not</w:t>
      </w:r>
      <w:r>
        <w:rPr>
          <w:szCs w:val="24"/>
        </w:rPr>
        <w:t xml:space="preserve"> more than ten years.  The court may suspend the imposition or execution of all or part of the sentence, except the one</w:t>
      </w:r>
      <w:r>
        <w:rPr>
          <w:szCs w:val="24"/>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Pr>
          <w:szCs w:val="24"/>
        </w:rPr>
        <w:noBreakHyphen/>
        <w:t>12</w:t>
      </w:r>
      <w:r>
        <w:rPr>
          <w:szCs w:val="24"/>
        </w:rPr>
        <w:noBreakHyphen/>
        <w:t xml:space="preserve">20.  The offender must pay a reasonable fee for participation in the substance abuse treatment program, but no person may be denied treatment due to inability to pay. </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 xml:space="preserve">The provisions of subsection (A) create a statutory offense of criminal domestic violence of a high and aggravated nature </w:t>
      </w:r>
      <w:r w:rsidRPr="00833C6B">
        <w:rPr>
          <w:strike/>
          <w:szCs w:val="24"/>
        </w:rPr>
        <w:t>and must not be construed to codify the common law crime of assault and battery of a high and aggravated nature</w:t>
      </w:r>
      <w:r>
        <w:rPr>
          <w:szCs w:val="24"/>
        </w:rPr>
        <w:t>.</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tab/>
      </w:r>
      <w:r>
        <w:rPr>
          <w:u w:val="single"/>
        </w:rPr>
        <w:t>For the purposes of this section:</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sidRPr="00833C6B">
        <w:rPr>
          <w:u w:val="single"/>
        </w:rPr>
        <w:t>‘</w:t>
      </w:r>
      <w:r>
        <w:rPr>
          <w:u w:val="single"/>
        </w:rPr>
        <w:t>Serious bodily injury</w:t>
      </w:r>
      <w:r w:rsidRPr="00833C6B">
        <w:rPr>
          <w:u w:val="single"/>
        </w:rPr>
        <w:t>’</w:t>
      </w:r>
      <w:r>
        <w:rPr>
          <w:u w:val="single"/>
        </w:rPr>
        <w:t xml:space="preserve"> means bodily injury that causes a laceration that requires stitches, staples, or a tissue adhesive, any fracture of a bone, a broken nose, a burn, a petechia, a temporary loss of consciousness, sight or hearing, a concussion or a loss or fracture of a tooth.</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sidRPr="00833C6B">
        <w:rPr>
          <w:u w:val="single"/>
        </w:rPr>
        <w:t>‘</w:t>
      </w:r>
      <w:r>
        <w:rPr>
          <w:u w:val="single"/>
        </w:rPr>
        <w:t>Petechia</w:t>
      </w:r>
      <w:r w:rsidRPr="00833C6B">
        <w:rPr>
          <w:u w:val="single"/>
        </w:rPr>
        <w:t>’</w:t>
      </w:r>
      <w:r>
        <w:rPr>
          <w:u w:val="single"/>
        </w:rPr>
        <w:t xml:space="preserve"> means a minute colored spot that appears on the skin, eye, eyelid, or mucous membrane of a person as a result of localized hemorrhage or rupture to a blood vessel or capillary.</w:t>
      </w:r>
      <w:r>
        <w:t>”</w:t>
      </w:r>
    </w:p>
    <w:p w:rsidR="002349B2"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F4" w:rsidRDefault="002349B2" w:rsidP="0023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261A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7E43" w:rsidRDefault="00357E43" w:rsidP="00357E43">
      <w:pPr>
        <w:suppressAutoHyphens/>
      </w:pPr>
    </w:p>
    <w:sectPr w:rsidR="00357E43" w:rsidSect="00357E4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9F4" w:rsidRDefault="00A559F4" w:rsidP="009F0C77">
      <w:r>
        <w:separator/>
      </w:r>
    </w:p>
  </w:endnote>
  <w:endnote w:type="continuationSeparator" w:id="0">
    <w:p w:rsidR="00A559F4" w:rsidRDefault="00A559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D70A76-7C19-42FA-BC56-4F5F360C8AE5}"/>
    <w:embedBold r:id="rId2" w:fontKey="{6F6B6B41-29AA-48A0-B128-B0ED5B0DD1FA}"/>
  </w:font>
  <w:font w:name="Calibri">
    <w:panose1 w:val="020F0502020204030204"/>
    <w:charset w:val="00"/>
    <w:family w:val="swiss"/>
    <w:pitch w:val="variable"/>
    <w:sig w:usb0="E00002FF" w:usb1="4000ACFF" w:usb2="00000001" w:usb3="00000000" w:csb0="0000019F" w:csb1="00000000"/>
    <w:embedRegular r:id="rId3" w:fontKey="{366932F1-6ED9-411E-8291-452E1A79794C}"/>
  </w:font>
  <w:font w:name="Segoe UI">
    <w:panose1 w:val="020B0502040204020203"/>
    <w:charset w:val="00"/>
    <w:family w:val="swiss"/>
    <w:pitch w:val="variable"/>
    <w:sig w:usb0="E10022FF" w:usb1="C000E47F" w:usb2="00000029" w:usb3="00000000" w:csb0="000001DF" w:csb1="00000000"/>
    <w:embedRegular r:id="rId4" w:fontKey="{2A1F0158-C1C7-4273-A6C1-3E3BAB95E17E}"/>
  </w:font>
  <w:font w:name="Cambria">
    <w:panose1 w:val="02040503050406030204"/>
    <w:charset w:val="00"/>
    <w:family w:val="roman"/>
    <w:pitch w:val="variable"/>
    <w:sig w:usb0="E00002FF" w:usb1="400004FF" w:usb2="00000000" w:usb3="00000000" w:csb0="0000019F" w:csb1="00000000"/>
    <w:embedRegular r:id="rId5" w:fontKey="{A49135FB-FBF1-4422-BADB-7EA4843D84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E43" w:rsidRPr="005B474C" w:rsidRDefault="00357E43" w:rsidP="005B474C">
    <w:pPr>
      <w:pStyle w:val="Footer"/>
      <w:tabs>
        <w:tab w:val="clear" w:pos="4680"/>
        <w:tab w:val="clear" w:pos="9360"/>
        <w:tab w:val="center" w:pos="2995"/>
      </w:tabs>
      <w:spacing w:before="120"/>
    </w:pPr>
    <w:r>
      <w:t>[3032]</w:t>
    </w:r>
    <w:r>
      <w:tab/>
    </w:r>
    <w:r>
      <w:fldChar w:fldCharType="begin"/>
    </w:r>
    <w:r>
      <w:instrText xml:space="preserve"> PAGE  \* MERGEFORMAT </w:instrText>
    </w:r>
    <w:r>
      <w:fldChar w:fldCharType="separate"/>
    </w:r>
    <w:r w:rsidR="005B16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9F4" w:rsidRDefault="00A559F4" w:rsidP="009F0C77">
      <w:r>
        <w:separator/>
      </w:r>
    </w:p>
  </w:footnote>
  <w:footnote w:type="continuationSeparator" w:id="0">
    <w:p w:rsidR="00A559F4" w:rsidRDefault="00A559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8AHB15"/>
    <w:docVar w:name="CoverBillType" w:val="b"/>
    <w:docVar w:name="docpath" w:val="L:\Council\bills\MS\7018AHB15.DOCX"/>
    <w:docVar w:name="dvBillNumber" w:val="3032"/>
    <w:docVar w:name="dvBillNumberPrefix" w:val="H. "/>
    <w:docVar w:name="dvOriginalBody" w:val="House"/>
    <w:docVar w:name="dvSteno" w:val="MS"/>
    <w:docVar w:name="NameofBody" w:val="h"/>
    <w:docVar w:name="vgroup2" w:val="Council"/>
  </w:docVars>
  <w:rsids>
    <w:rsidRoot w:val="00A559F4"/>
    <w:rsid w:val="00011869"/>
    <w:rsid w:val="00015CD6"/>
    <w:rsid w:val="00035B24"/>
    <w:rsid w:val="000A3D4B"/>
    <w:rsid w:val="000E0B4B"/>
    <w:rsid w:val="000E1785"/>
    <w:rsid w:val="000F3321"/>
    <w:rsid w:val="000F40FA"/>
    <w:rsid w:val="0010776B"/>
    <w:rsid w:val="00133E66"/>
    <w:rsid w:val="001435A3"/>
    <w:rsid w:val="001D08F2"/>
    <w:rsid w:val="001D525B"/>
    <w:rsid w:val="001D7F4F"/>
    <w:rsid w:val="002321B6"/>
    <w:rsid w:val="002349B2"/>
    <w:rsid w:val="00250967"/>
    <w:rsid w:val="002543C8"/>
    <w:rsid w:val="00284AAE"/>
    <w:rsid w:val="002E5912"/>
    <w:rsid w:val="00301B21"/>
    <w:rsid w:val="00325348"/>
    <w:rsid w:val="0032732C"/>
    <w:rsid w:val="00336AD0"/>
    <w:rsid w:val="00357E43"/>
    <w:rsid w:val="0037079A"/>
    <w:rsid w:val="003D01E8"/>
    <w:rsid w:val="003E5288"/>
    <w:rsid w:val="003F6D79"/>
    <w:rsid w:val="00413BC0"/>
    <w:rsid w:val="0041760A"/>
    <w:rsid w:val="00417C01"/>
    <w:rsid w:val="004809EE"/>
    <w:rsid w:val="004E7D54"/>
    <w:rsid w:val="005273C6"/>
    <w:rsid w:val="00530A69"/>
    <w:rsid w:val="00545593"/>
    <w:rsid w:val="00577C6C"/>
    <w:rsid w:val="005B1685"/>
    <w:rsid w:val="005B474C"/>
    <w:rsid w:val="005C2FE2"/>
    <w:rsid w:val="005E2BC9"/>
    <w:rsid w:val="00605102"/>
    <w:rsid w:val="006215AA"/>
    <w:rsid w:val="006913C9"/>
    <w:rsid w:val="0069470D"/>
    <w:rsid w:val="00731968"/>
    <w:rsid w:val="00734F00"/>
    <w:rsid w:val="00780812"/>
    <w:rsid w:val="007A70AE"/>
    <w:rsid w:val="008362E8"/>
    <w:rsid w:val="008A1768"/>
    <w:rsid w:val="008F0F33"/>
    <w:rsid w:val="008F4429"/>
    <w:rsid w:val="009261A4"/>
    <w:rsid w:val="0094021A"/>
    <w:rsid w:val="009B44AF"/>
    <w:rsid w:val="009C6A0B"/>
    <w:rsid w:val="009F0C77"/>
    <w:rsid w:val="009F4DD1"/>
    <w:rsid w:val="00A41684"/>
    <w:rsid w:val="00A559F4"/>
    <w:rsid w:val="00A64E80"/>
    <w:rsid w:val="00A72BCD"/>
    <w:rsid w:val="00A741D9"/>
    <w:rsid w:val="00A833AB"/>
    <w:rsid w:val="00A9741D"/>
    <w:rsid w:val="00AD1F83"/>
    <w:rsid w:val="00AD4B17"/>
    <w:rsid w:val="00B04122"/>
    <w:rsid w:val="00B412D4"/>
    <w:rsid w:val="00BC775A"/>
    <w:rsid w:val="00BE3C22"/>
    <w:rsid w:val="00C0345E"/>
    <w:rsid w:val="00C3483A"/>
    <w:rsid w:val="00C74E9D"/>
    <w:rsid w:val="00C82FD3"/>
    <w:rsid w:val="00C92819"/>
    <w:rsid w:val="00CC6B7B"/>
    <w:rsid w:val="00CD2089"/>
    <w:rsid w:val="00CE1C92"/>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CB96E6-553E-434C-9FE0-F8BBD7093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49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9B2"/>
    <w:rPr>
      <w:rFonts w:ascii="Segoe UI" w:eastAsia="Times New Roman" w:hAnsi="Segoe UI" w:cs="Segoe UI"/>
      <w:sz w:val="18"/>
      <w:szCs w:val="18"/>
    </w:rPr>
  </w:style>
  <w:style w:type="character" w:styleId="Hyperlink">
    <w:name w:val="Hyperlink"/>
    <w:basedOn w:val="DefaultParagraphFont"/>
    <w:uiPriority w:val="99"/>
    <w:unhideWhenUsed/>
    <w:rsid w:val="00357E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32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3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0D76A-A7DE-430F-AF98-3B9B8EF0B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772</Words>
  <Characters>4405</Characters>
  <Application>Microsoft Office Word</Application>
  <DocSecurity>6</DocSecurity>
  <Lines>36</Lines>
  <Paragraphs>10</Paragraphs>
  <ScaleCrop>false</ScaleCrop>
  <Company>LPITS</Company>
  <LinksUpToDate>false</LinksUpToDate>
  <CharactersWithSpaces>5167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3032: Criminal offenses of strangulation and smothering - South Carolina Legislature Online</dc:title>
  <dc:creator>MarthaSanders</dc:creator>
  <cp:lastModifiedBy>N Cumfer</cp:lastModifiedBy>
  <cp:revision>2</cp:revision>
  <cp:lastPrinted>2014-12-04T16:13:00Z</cp:lastPrinted>
  <dcterms:created xsi:type="dcterms:W3CDTF">2016-12-02T17:41:00Z</dcterms:created>
  <dcterms:modified xsi:type="dcterms:W3CDTF">2016-12-02T17:41:00Z</dcterms:modified>
</cp:coreProperties>
</file>