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DCA" w:rsidRDefault="00D95DCA" w:rsidP="00D95DCA">
      <w:pPr>
        <w:widowControl w:val="0"/>
        <w:jc w:val="center"/>
      </w:pPr>
      <w:bookmarkStart w:id="0" w:name="_GoBack"/>
      <w:bookmarkEnd w:id="0"/>
      <w:r w:rsidRPr="00D95DCA">
        <w:rPr>
          <w:b/>
        </w:rPr>
        <w:t>South Carolina General Assembly</w:t>
      </w:r>
    </w:p>
    <w:p w:rsidR="00D95DCA" w:rsidRDefault="00D95DCA" w:rsidP="00D95DCA">
      <w:pPr>
        <w:widowControl w:val="0"/>
        <w:jc w:val="center"/>
      </w:pPr>
      <w:r>
        <w:t>121st Session, 2015-2016</w:t>
      </w:r>
    </w:p>
    <w:p w:rsidR="00D95DCA" w:rsidRDefault="00D95DCA" w:rsidP="00D95DCA">
      <w:pPr>
        <w:widowControl w:val="0"/>
      </w:pPr>
    </w:p>
    <w:p w:rsidR="00D95DCA" w:rsidRDefault="00D95DCA" w:rsidP="00D95DCA">
      <w:pPr>
        <w:widowControl w:val="0"/>
        <w:rPr>
          <w:b/>
        </w:rPr>
      </w:pPr>
      <w:r w:rsidRPr="00D95DCA">
        <w:rPr>
          <w:b/>
        </w:rPr>
        <w:t>S.</w:t>
      </w:r>
      <w:r>
        <w:rPr>
          <w:b/>
        </w:rPr>
        <w:t xml:space="preserve"> </w:t>
      </w:r>
      <w:r w:rsidRPr="00D95DCA">
        <w:rPr>
          <w:b/>
        </w:rPr>
        <w:t>38</w:t>
      </w:r>
    </w:p>
    <w:p w:rsidR="00D95DCA" w:rsidRDefault="00D95DCA" w:rsidP="00D95DCA">
      <w:pPr>
        <w:widowControl w:val="0"/>
        <w:rPr>
          <w:b/>
        </w:rPr>
      </w:pPr>
    </w:p>
    <w:p w:rsidR="00D95DCA" w:rsidRDefault="00D95DCA" w:rsidP="00D95DCA">
      <w:pPr>
        <w:widowControl w:val="0"/>
      </w:pPr>
      <w:r w:rsidRPr="00D95DCA">
        <w:rPr>
          <w:b/>
        </w:rPr>
        <w:t>STATUS INFORMATION</w:t>
      </w:r>
    </w:p>
    <w:p w:rsidR="00D95DCA" w:rsidRDefault="00D95DCA" w:rsidP="00D95DCA">
      <w:pPr>
        <w:widowControl w:val="0"/>
      </w:pPr>
    </w:p>
    <w:p w:rsidR="00D95DCA" w:rsidRDefault="00D95DCA" w:rsidP="00D95DCA">
      <w:pPr>
        <w:widowControl w:val="0"/>
      </w:pPr>
      <w:r>
        <w:t>General Bill</w:t>
      </w:r>
    </w:p>
    <w:p w:rsidR="00D95DCA" w:rsidRDefault="00D95DCA" w:rsidP="00D95DCA">
      <w:pPr>
        <w:widowControl w:val="0"/>
      </w:pPr>
      <w:r>
        <w:t>Sponsors: Senator Bryant</w:t>
      </w:r>
    </w:p>
    <w:p w:rsidR="00D95DCA" w:rsidRDefault="00D95DCA" w:rsidP="00D95DCA">
      <w:pPr>
        <w:widowControl w:val="0"/>
      </w:pPr>
      <w:r>
        <w:t>Document Path: l:\s-res\klb\005resi.kmm.klb.docx</w:t>
      </w:r>
    </w:p>
    <w:p w:rsidR="00D95DCA" w:rsidRDefault="00D95DCA" w:rsidP="00D95DCA">
      <w:pPr>
        <w:widowControl w:val="0"/>
      </w:pPr>
    </w:p>
    <w:p w:rsidR="00CB2C9C" w:rsidRDefault="00CB2C9C" w:rsidP="00D95DCA">
      <w:pPr>
        <w:widowControl w:val="0"/>
      </w:pPr>
      <w:r>
        <w:t>Introduced in the Senate on January 13, 2015</w:t>
      </w:r>
    </w:p>
    <w:p w:rsidR="00CB2C9C" w:rsidRPr="00CB2C9C" w:rsidRDefault="00CB2C9C" w:rsidP="00D95DCA">
      <w:pPr>
        <w:widowControl w:val="0"/>
      </w:pPr>
      <w:r>
        <w:t xml:space="preserve">Currently residing in the Senate Committee on </w:t>
      </w:r>
      <w:r w:rsidRPr="00CB2C9C">
        <w:rPr>
          <w:b/>
        </w:rPr>
        <w:t>Judiciary</w:t>
      </w:r>
    </w:p>
    <w:p w:rsidR="00CB2C9C" w:rsidRDefault="00CB2C9C" w:rsidP="00D95DCA">
      <w:pPr>
        <w:widowControl w:val="0"/>
      </w:pPr>
    </w:p>
    <w:p w:rsidR="00D95DCA" w:rsidRDefault="00D95DCA" w:rsidP="00D95DCA">
      <w:pPr>
        <w:widowControl w:val="0"/>
      </w:pPr>
      <w:r>
        <w:t xml:space="preserve">Summary: </w:t>
      </w:r>
      <w:r w:rsidR="00B72D36">
        <w:t>Residential Landlord and Tenant Act</w:t>
      </w:r>
    </w:p>
    <w:p w:rsidR="00D95DCA" w:rsidRDefault="00D95DCA" w:rsidP="00D95DCA">
      <w:pPr>
        <w:widowControl w:val="0"/>
      </w:pPr>
    </w:p>
    <w:p w:rsidR="00D95DCA" w:rsidRDefault="00D95DCA" w:rsidP="00D95DCA">
      <w:pPr>
        <w:widowControl w:val="0"/>
      </w:pPr>
    </w:p>
    <w:p w:rsidR="00D95DCA" w:rsidRDefault="00D95DCA" w:rsidP="00D95DCA">
      <w:pPr>
        <w:widowControl w:val="0"/>
        <w:tabs>
          <w:tab w:val="center" w:pos="590"/>
          <w:tab w:val="center" w:pos="1440"/>
          <w:tab w:val="left" w:pos="1872"/>
          <w:tab w:val="left" w:pos="9187"/>
        </w:tabs>
      </w:pPr>
      <w:r w:rsidRPr="00D95DCA">
        <w:rPr>
          <w:b/>
        </w:rPr>
        <w:t>HISTORY OF LEGISLATIVE ACTIONS</w:t>
      </w:r>
    </w:p>
    <w:p w:rsidR="00D95DCA" w:rsidRDefault="00D95DCA" w:rsidP="00D95DCA">
      <w:pPr>
        <w:widowControl w:val="0"/>
        <w:tabs>
          <w:tab w:val="center" w:pos="590"/>
          <w:tab w:val="center" w:pos="1440"/>
          <w:tab w:val="left" w:pos="1872"/>
          <w:tab w:val="left" w:pos="9187"/>
        </w:tabs>
      </w:pPr>
    </w:p>
    <w:p w:rsidR="00D95DCA" w:rsidRPr="00D95DCA" w:rsidRDefault="00D95DCA" w:rsidP="00D95DCA">
      <w:pPr>
        <w:widowControl w:val="0"/>
        <w:tabs>
          <w:tab w:val="center" w:pos="590"/>
          <w:tab w:val="center" w:pos="1440"/>
          <w:tab w:val="left" w:pos="1872"/>
          <w:tab w:val="left" w:pos="9187"/>
        </w:tabs>
      </w:pPr>
      <w:r w:rsidRPr="00D95DCA">
        <w:rPr>
          <w:u w:val="single"/>
        </w:rPr>
        <w:tab/>
        <w:t>Date</w:t>
      </w:r>
      <w:r w:rsidRPr="00D95DCA">
        <w:rPr>
          <w:u w:val="single"/>
        </w:rPr>
        <w:tab/>
        <w:t>Body</w:t>
      </w:r>
      <w:r w:rsidRPr="00D95DCA">
        <w:rPr>
          <w:u w:val="single"/>
        </w:rPr>
        <w:tab/>
        <w:t>Action Description with journal page number</w:t>
      </w:r>
      <w:r w:rsidRPr="00D95DCA">
        <w:rPr>
          <w:u w:val="single"/>
        </w:rPr>
        <w:tab/>
      </w:r>
    </w:p>
    <w:p w:rsidR="00BE3923" w:rsidRDefault="00BE3923" w:rsidP="00BE3923">
      <w:pPr>
        <w:widowControl w:val="0"/>
        <w:tabs>
          <w:tab w:val="right" w:pos="1008"/>
          <w:tab w:val="left" w:pos="1152"/>
          <w:tab w:val="left" w:pos="1872"/>
          <w:tab w:val="left" w:pos="9187"/>
        </w:tabs>
        <w:ind w:left="2088" w:hanging="2088"/>
      </w:pPr>
      <w:r>
        <w:tab/>
        <w:t>12/3/2014</w:t>
      </w:r>
      <w:r>
        <w:tab/>
        <w:t>Senate</w:t>
      </w:r>
      <w:r>
        <w:tab/>
      </w:r>
      <w:r w:rsidRPr="00F86E86">
        <w:t>Prefiled</w:t>
      </w:r>
    </w:p>
    <w:p w:rsidR="00BE3923" w:rsidRDefault="00BE3923" w:rsidP="00BE3923">
      <w:pPr>
        <w:widowControl w:val="0"/>
        <w:tabs>
          <w:tab w:val="right" w:pos="1008"/>
          <w:tab w:val="left" w:pos="1152"/>
          <w:tab w:val="left" w:pos="1872"/>
          <w:tab w:val="left" w:pos="9187"/>
        </w:tabs>
        <w:ind w:left="2088" w:hanging="2088"/>
      </w:pPr>
      <w:r>
        <w:tab/>
        <w:t>12/3/2014</w:t>
      </w:r>
      <w:r>
        <w:tab/>
        <w:t>Senate</w:t>
      </w:r>
      <w:r>
        <w:tab/>
      </w:r>
      <w:r w:rsidRPr="00F86E86">
        <w:t xml:space="preserve">Referred to Committee on </w:t>
      </w:r>
      <w:r w:rsidRPr="00F86E86">
        <w:rPr>
          <w:b/>
        </w:rPr>
        <w:t>Judiciary</w:t>
      </w:r>
    </w:p>
    <w:p w:rsidR="00BE3923" w:rsidRDefault="00BE3923" w:rsidP="00BE3923">
      <w:pPr>
        <w:widowControl w:val="0"/>
        <w:tabs>
          <w:tab w:val="right" w:pos="1008"/>
          <w:tab w:val="left" w:pos="1152"/>
          <w:tab w:val="left" w:pos="1872"/>
          <w:tab w:val="left" w:pos="9187"/>
        </w:tabs>
        <w:ind w:left="2088" w:hanging="2088"/>
      </w:pPr>
      <w:r>
        <w:tab/>
        <w:t>1/13/2015</w:t>
      </w:r>
      <w:r>
        <w:tab/>
        <w:t>Senate</w:t>
      </w:r>
      <w:r>
        <w:tab/>
      </w:r>
      <w:r w:rsidRPr="00F86E86">
        <w:t>Introduced and read first time (</w:t>
      </w:r>
      <w:hyperlink r:id="rId6" w:history="1">
        <w:r w:rsidRPr="00F556C8">
          <w:rPr>
            <w:rStyle w:val="Hyperlink"/>
          </w:rPr>
          <w:t>Senate Journal</w:t>
        </w:r>
        <w:r w:rsidRPr="00F556C8">
          <w:rPr>
            <w:rStyle w:val="Hyperlink"/>
          </w:rPr>
          <w:noBreakHyphen/>
          <w:t>page 52</w:t>
        </w:r>
      </w:hyperlink>
      <w:r w:rsidRPr="00F86E86">
        <w:t>)</w:t>
      </w:r>
    </w:p>
    <w:p w:rsidR="00BE3923" w:rsidRDefault="00BE3923" w:rsidP="00BE3923">
      <w:pPr>
        <w:widowControl w:val="0"/>
        <w:tabs>
          <w:tab w:val="right" w:pos="1008"/>
          <w:tab w:val="left" w:pos="1152"/>
          <w:tab w:val="left" w:pos="1872"/>
          <w:tab w:val="left" w:pos="9187"/>
        </w:tabs>
        <w:ind w:left="2088" w:hanging="2088"/>
      </w:pPr>
      <w:r>
        <w:tab/>
        <w:t>1/13/2015</w:t>
      </w:r>
      <w:r>
        <w:tab/>
        <w:t>Senate</w:t>
      </w:r>
      <w:r>
        <w:tab/>
      </w:r>
      <w:r w:rsidRPr="00F86E86">
        <w:t>Ref</w:t>
      </w:r>
      <w:r>
        <w:t xml:space="preserve">erred to Committee on </w:t>
      </w:r>
      <w:r w:rsidRPr="00F86E86">
        <w:rPr>
          <w:b/>
        </w:rPr>
        <w:t>Judiciary</w:t>
      </w:r>
      <w:r>
        <w:t xml:space="preserve"> </w:t>
      </w:r>
      <w:r w:rsidRPr="00F86E86">
        <w:t>(</w:t>
      </w:r>
      <w:hyperlink r:id="rId7" w:history="1">
        <w:r w:rsidRPr="00F556C8">
          <w:rPr>
            <w:rStyle w:val="Hyperlink"/>
          </w:rPr>
          <w:t>Senate Journal</w:t>
        </w:r>
        <w:r w:rsidRPr="00F556C8">
          <w:rPr>
            <w:rStyle w:val="Hyperlink"/>
          </w:rPr>
          <w:noBreakHyphen/>
          <w:t>page 52</w:t>
        </w:r>
      </w:hyperlink>
      <w:r w:rsidRPr="00F86E86">
        <w:t>)</w:t>
      </w:r>
    </w:p>
    <w:p w:rsidR="00BE3923" w:rsidRDefault="00BE3923" w:rsidP="00BE3923">
      <w:pPr>
        <w:widowControl w:val="0"/>
        <w:tabs>
          <w:tab w:val="right" w:pos="1008"/>
          <w:tab w:val="left" w:pos="1152"/>
          <w:tab w:val="left" w:pos="1872"/>
          <w:tab w:val="left" w:pos="9187"/>
        </w:tabs>
        <w:ind w:left="2088" w:hanging="2088"/>
      </w:pPr>
    </w:p>
    <w:p w:rsidR="00D95DCA" w:rsidRDefault="00D95DCA" w:rsidP="00D95DCA">
      <w:pPr>
        <w:widowControl w:val="0"/>
        <w:tabs>
          <w:tab w:val="right" w:pos="1008"/>
          <w:tab w:val="left" w:pos="1152"/>
          <w:tab w:val="left" w:pos="1872"/>
          <w:tab w:val="left" w:pos="9187"/>
        </w:tabs>
        <w:ind w:left="2088" w:hanging="2088"/>
      </w:pPr>
      <w:r>
        <w:t xml:space="preserve">View the latest </w:t>
      </w:r>
      <w:hyperlink r:id="rId8" w:history="1">
        <w:r w:rsidRPr="00D95DCA">
          <w:rPr>
            <w:rStyle w:val="Hyperlink"/>
          </w:rPr>
          <w:t>legislative information</w:t>
        </w:r>
      </w:hyperlink>
      <w:r>
        <w:t xml:space="preserve"> at the website</w:t>
      </w:r>
    </w:p>
    <w:p w:rsidR="00D95DCA" w:rsidRDefault="00D95DCA" w:rsidP="00D95DCA">
      <w:pPr>
        <w:widowControl w:val="0"/>
        <w:tabs>
          <w:tab w:val="right" w:pos="1008"/>
          <w:tab w:val="left" w:pos="1152"/>
          <w:tab w:val="left" w:pos="1872"/>
          <w:tab w:val="left" w:pos="9187"/>
        </w:tabs>
        <w:ind w:left="2088" w:hanging="2088"/>
      </w:pPr>
    </w:p>
    <w:p w:rsidR="00D95DCA" w:rsidRPr="00D95DCA" w:rsidRDefault="00D95DCA" w:rsidP="00D95DCA">
      <w:pPr>
        <w:widowControl w:val="0"/>
        <w:tabs>
          <w:tab w:val="right" w:pos="1008"/>
          <w:tab w:val="left" w:pos="1152"/>
          <w:tab w:val="left" w:pos="1872"/>
          <w:tab w:val="left" w:pos="9187"/>
        </w:tabs>
        <w:ind w:left="2088" w:hanging="2088"/>
      </w:pPr>
    </w:p>
    <w:p w:rsidR="00D95DCA" w:rsidRDefault="00D95DCA" w:rsidP="00D95DCA">
      <w:pPr>
        <w:widowControl w:val="0"/>
      </w:pPr>
      <w:r w:rsidRPr="00D95DCA">
        <w:rPr>
          <w:b/>
        </w:rPr>
        <w:t>VERSIONS OF THIS BILL</w:t>
      </w:r>
    </w:p>
    <w:p w:rsidR="00D95DCA" w:rsidRDefault="00D95DCA" w:rsidP="00D95DCA">
      <w:pPr>
        <w:widowControl w:val="0"/>
      </w:pPr>
    </w:p>
    <w:p w:rsidR="00D95DCA" w:rsidRDefault="00F556C8" w:rsidP="00D95DCA">
      <w:pPr>
        <w:widowControl w:val="0"/>
      </w:pPr>
      <w:hyperlink r:id="rId9" w:history="1">
        <w:r w:rsidR="00D95DCA">
          <w:rPr>
            <w:rStyle w:val="Hyperlink"/>
          </w:rPr>
          <w:t>12/3/2014</w:t>
        </w:r>
      </w:hyperlink>
    </w:p>
    <w:p w:rsidR="00D95DCA" w:rsidRDefault="00D95DCA" w:rsidP="00D95DCA"/>
    <w:p w:rsidR="00D95DCA" w:rsidRDefault="00D95DCA" w:rsidP="00D95DCA">
      <w:pPr>
        <w:sectPr w:rsidR="00D95DCA" w:rsidSect="00D95DCA">
          <w:pgSz w:w="12240" w:h="15840" w:code="1"/>
          <w:pgMar w:top="1080" w:right="1440" w:bottom="1080" w:left="1440" w:header="720" w:footer="720" w:gutter="0"/>
          <w:cols w:space="720"/>
          <w:noEndnote/>
          <w:docGrid w:linePitch="360"/>
        </w:sectPr>
      </w:pPr>
    </w:p>
    <w:p w:rsidR="0049673F" w:rsidRPr="00522CE0" w:rsidRDefault="004967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41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5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CHAPTER 40, TITLE 2</w:t>
      </w:r>
      <w:r w:rsidRPr="00BA5ECF">
        <w:rPr>
          <w:color w:val="000000" w:themeColor="text1"/>
          <w:u w:color="000000" w:themeColor="text1"/>
        </w:rPr>
        <w:t>7 OF THE 1976 CODE</w:t>
      </w:r>
      <w:r>
        <w:rPr>
          <w:color w:val="000000" w:themeColor="text1"/>
          <w:u w:color="000000" w:themeColor="text1"/>
        </w:rPr>
        <w:t>,</w:t>
      </w:r>
      <w:r w:rsidRPr="00BA5ECF">
        <w:rPr>
          <w:color w:val="000000" w:themeColor="text1"/>
          <w:u w:color="000000" w:themeColor="text1"/>
        </w:rPr>
        <w:t xml:space="preserve"> RELATING TO THE RESIDENTIAL LANDLORD AND TENANT ACT, BY ADDING SECTION 27</w:t>
      </w:r>
      <w:r>
        <w:rPr>
          <w:color w:val="000000" w:themeColor="text1"/>
          <w:u w:color="000000" w:themeColor="text1"/>
        </w:rPr>
        <w:noBreakHyphen/>
      </w:r>
      <w:r w:rsidRPr="00BA5ECF">
        <w:rPr>
          <w:color w:val="000000" w:themeColor="text1"/>
          <w:u w:color="000000" w:themeColor="text1"/>
        </w:rPr>
        <w:t>40</w:t>
      </w:r>
      <w:r>
        <w:rPr>
          <w:color w:val="000000" w:themeColor="text1"/>
          <w:u w:color="000000" w:themeColor="text1"/>
        </w:rPr>
        <w:noBreakHyphen/>
        <w:t>795</w:t>
      </w:r>
      <w:r w:rsidRPr="00BA5ECF">
        <w:rPr>
          <w:color w:val="000000" w:themeColor="text1"/>
          <w:u w:color="000000" w:themeColor="text1"/>
        </w:rPr>
        <w:t xml:space="preserve"> TO ALLOW GARNISHMENT FOR A DEBT ARISING FROM A </w:t>
      </w:r>
      <w:r>
        <w:rPr>
          <w:color w:val="000000" w:themeColor="text1"/>
          <w:u w:color="000000" w:themeColor="text1"/>
        </w:rPr>
        <w:t>TENANT WILFULLY VIOLATING</w:t>
      </w:r>
      <w:r w:rsidRPr="00BA5ECF">
        <w:rPr>
          <w:color w:val="000000" w:themeColor="text1"/>
          <w:u w:color="000000" w:themeColor="text1"/>
        </w:rPr>
        <w:t xml:space="preserve"> THE RENTAL AGREEMENT AND TO PROVIDE THAT THE GARNISHMENT ACTION MUST BE BROUGHT IN MAGIS</w:t>
      </w:r>
      <w:r>
        <w:rPr>
          <w:color w:val="000000" w:themeColor="text1"/>
          <w:u w:color="000000" w:themeColor="text1"/>
        </w:rPr>
        <w:t>TRATES COURT; BY ADDING SECTION</w:t>
      </w:r>
      <w:r w:rsidRPr="00BA5ECF">
        <w:rPr>
          <w:color w:val="000000" w:themeColor="text1"/>
          <w:u w:color="000000" w:themeColor="text1"/>
        </w:rPr>
        <w:t xml:space="preserve">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 xml:space="preserve">, </w:t>
      </w:r>
      <w:r w:rsidRPr="00BA5ECF">
        <w:rPr>
          <w:color w:val="000000" w:themeColor="text1"/>
          <w:u w:color="000000" w:themeColor="text1"/>
        </w:rPr>
        <w:t>TO DEFINE NECESSARY TERMS</w:t>
      </w:r>
      <w:r>
        <w:rPr>
          <w:color w:val="000000" w:themeColor="text1"/>
          <w:u w:color="000000" w:themeColor="text1"/>
        </w:rPr>
        <w:t xml:space="preserve"> RELATED TO GARNISHMENT;</w:t>
      </w:r>
      <w:r w:rsidRPr="00BA5ECF">
        <w:rPr>
          <w:color w:val="000000" w:themeColor="text1"/>
          <w:u w:color="000000" w:themeColor="text1"/>
        </w:rPr>
        <w:t xml:space="preserve"> </w:t>
      </w:r>
      <w:r>
        <w:rPr>
          <w:color w:val="000000" w:themeColor="text1"/>
          <w:u w:color="000000" w:themeColor="text1"/>
        </w:rPr>
        <w:t xml:space="preserve">BY ADDING SECTION </w:t>
      </w:r>
      <w:r w:rsidRPr="00BA5ECF">
        <w:rPr>
          <w:color w:val="000000" w:themeColor="text1"/>
          <w:u w:color="000000" w:themeColor="text1"/>
        </w:rPr>
        <w:t>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13</w:t>
      </w:r>
      <w:r>
        <w:rPr>
          <w:color w:val="000000" w:themeColor="text1"/>
          <w:u w:color="000000" w:themeColor="text1"/>
        </w:rPr>
        <w:t xml:space="preserve">0, TO </w:t>
      </w:r>
      <w:r w:rsidRPr="00BA5ECF">
        <w:rPr>
          <w:color w:val="000000" w:themeColor="text1"/>
          <w:u w:color="000000" w:themeColor="text1"/>
        </w:rPr>
        <w:t>PROVIDE A PROCEDURE FOR THE GARNISHMENT OF WAGES UNDER CERTAIN CIRCUMSTANCES</w:t>
      </w:r>
      <w:r>
        <w:rPr>
          <w:color w:val="000000" w:themeColor="text1"/>
          <w:u w:color="000000" w:themeColor="text1"/>
        </w:rPr>
        <w:t>; BY ADDING SECTION 15</w:t>
      </w:r>
      <w:r>
        <w:rPr>
          <w:color w:val="000000" w:themeColor="text1"/>
          <w:u w:color="000000" w:themeColor="text1"/>
        </w:rPr>
        <w:noBreakHyphen/>
        <w:t>19</w:t>
      </w:r>
      <w:r>
        <w:rPr>
          <w:color w:val="000000" w:themeColor="text1"/>
          <w:u w:color="000000" w:themeColor="text1"/>
        </w:rPr>
        <w:noBreakHyphen/>
        <w:t xml:space="preserve">140, TO PROVIDE A PROCEDURE </w:t>
      </w:r>
      <w:r w:rsidRPr="00BA5ECF">
        <w:rPr>
          <w:color w:val="000000" w:themeColor="text1"/>
          <w:u w:color="000000" w:themeColor="text1"/>
        </w:rPr>
        <w:t>IF AN EMPLOYER OF THE DEBTOR REFUSES TO WITHHOLD EARNINGS OF THE DEBTOR DEMANDED IN A WRIT OF GARNISHMENT OR KNOWINGLY MISREPRESENTS THE EARNINGS OF THE DEBTOR</w:t>
      </w:r>
      <w:r>
        <w:rPr>
          <w:color w:val="000000" w:themeColor="text1"/>
          <w:u w:color="000000" w:themeColor="text1"/>
        </w:rPr>
        <w:t xml:space="preserve"> </w:t>
      </w:r>
      <w:r w:rsidRPr="00BA5ECF">
        <w:rPr>
          <w:color w:val="000000" w:themeColor="text1"/>
          <w:u w:color="000000" w:themeColor="text1"/>
        </w:rPr>
        <w:t xml:space="preserve">AND PROVIDE THAT GARNISHMENT IS SUBJECT TO SPECIFIC </w:t>
      </w:r>
      <w:r>
        <w:rPr>
          <w:color w:val="000000" w:themeColor="text1"/>
          <w:u w:color="000000" w:themeColor="text1"/>
        </w:rPr>
        <w:t>LIMITATIONS; AND BY ADDING SECTION 15</w:t>
      </w:r>
      <w:r>
        <w:rPr>
          <w:color w:val="000000" w:themeColor="text1"/>
          <w:u w:color="000000" w:themeColor="text1"/>
        </w:rPr>
        <w:noBreakHyphen/>
        <w:t>19</w:t>
      </w:r>
      <w:r>
        <w:rPr>
          <w:color w:val="000000" w:themeColor="text1"/>
          <w:u w:color="000000" w:themeColor="text1"/>
        </w:rPr>
        <w:noBreakHyphen/>
        <w:t xml:space="preserve">150, TO PROVIDE THAT </w:t>
      </w:r>
      <w:r w:rsidRPr="00BA5ECF">
        <w:rPr>
          <w:color w:val="000000" w:themeColor="text1"/>
          <w:u w:color="000000" w:themeColor="text1"/>
        </w:rPr>
        <w:t xml:space="preserve">AN EMPLOYER </w:t>
      </w:r>
      <w:r>
        <w:rPr>
          <w:color w:val="000000" w:themeColor="text1"/>
          <w:u w:color="000000" w:themeColor="text1"/>
        </w:rPr>
        <w:t>MAY NOT</w:t>
      </w:r>
      <w:r w:rsidRPr="00BA5ECF">
        <w:rPr>
          <w:color w:val="000000" w:themeColor="text1"/>
          <w:u w:color="000000" w:themeColor="text1"/>
        </w:rPr>
        <w:t xml:space="preserve"> </w:t>
      </w:r>
      <w:r>
        <w:rPr>
          <w:color w:val="000000" w:themeColor="text1"/>
          <w:u w:color="000000" w:themeColor="text1"/>
        </w:rPr>
        <w:t xml:space="preserve">TAKE NEGATIVE ACTION AGAINST AN EMPLOYEE EXCLUSIVELY RELATED TO </w:t>
      </w:r>
      <w:r w:rsidRPr="00BA5ECF">
        <w:rPr>
          <w:color w:val="000000" w:themeColor="text1"/>
          <w:u w:color="000000" w:themeColor="text1"/>
        </w:rPr>
        <w:t>A WRIT OF GARNISHMENT</w:t>
      </w:r>
      <w:r>
        <w:rPr>
          <w:color w:val="000000" w:themeColor="text1"/>
          <w:u w:color="000000" w:themeColor="text1"/>
        </w:rPr>
        <w:t>.</w:t>
      </w:r>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4174" w:rsidRDefault="00F24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1.</w:t>
      </w:r>
      <w:r>
        <w:rPr>
          <w:color w:val="000000" w:themeColor="text1"/>
          <w:u w:color="000000" w:themeColor="text1"/>
        </w:rPr>
        <w:tab/>
      </w:r>
      <w:r w:rsidRPr="00BA5ECF">
        <w:rPr>
          <w:color w:val="000000" w:themeColor="text1"/>
          <w:u w:color="000000" w:themeColor="text1"/>
        </w:rPr>
        <w:t>Chapter 40, Title 27 of the 1976 Code is amended by adding:</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“Section 27</w:t>
      </w:r>
      <w:r>
        <w:rPr>
          <w:color w:val="000000" w:themeColor="text1"/>
          <w:u w:color="000000" w:themeColor="text1"/>
        </w:rPr>
        <w:noBreakHyphen/>
      </w:r>
      <w:r w:rsidRPr="00BA5ECF">
        <w:rPr>
          <w:color w:val="000000" w:themeColor="text1"/>
          <w:u w:color="000000" w:themeColor="text1"/>
        </w:rPr>
        <w:t>40</w:t>
      </w:r>
      <w:r>
        <w:rPr>
          <w:color w:val="000000" w:themeColor="text1"/>
          <w:u w:color="000000" w:themeColor="text1"/>
        </w:rPr>
        <w:noBreakHyphen/>
        <w:t>795</w:t>
      </w:r>
      <w:r w:rsidRPr="00BA5ECF">
        <w:rPr>
          <w:color w:val="000000" w:themeColor="text1"/>
          <w:u w:color="000000" w:themeColor="text1"/>
        </w:rPr>
        <w:t>.</w:t>
      </w:r>
      <w:r w:rsidRPr="00BA5ECF">
        <w:rPr>
          <w:color w:val="000000" w:themeColor="text1"/>
          <w:u w:color="000000" w:themeColor="text1"/>
        </w:rPr>
        <w:tab/>
        <w:t>A landlord upon obtainment of a judgment allowing such, may attach to unpaid earnings of the debtor by garnishme</w:t>
      </w:r>
      <w:r>
        <w:rPr>
          <w:color w:val="000000" w:themeColor="text1"/>
          <w:u w:color="000000" w:themeColor="text1"/>
        </w:rPr>
        <w:t>nt for a debt arising from a wi</w:t>
      </w:r>
      <w:r w:rsidRPr="00BA5ECF">
        <w:rPr>
          <w:color w:val="000000" w:themeColor="text1"/>
          <w:u w:color="000000" w:themeColor="text1"/>
        </w:rPr>
        <w:t xml:space="preserve">lful violation of a rental agreement made within this State, pursuant to the method prescribed </w:t>
      </w:r>
      <w:r w:rsidRPr="00BA5ECF">
        <w:rPr>
          <w:color w:val="000000" w:themeColor="text1"/>
          <w:u w:color="000000" w:themeColor="text1"/>
        </w:rPr>
        <w:lastRenderedPageBreak/>
        <w:t>in Chapter 19, Ti</w:t>
      </w:r>
      <w:r>
        <w:rPr>
          <w:color w:val="000000" w:themeColor="text1"/>
          <w:u w:color="000000" w:themeColor="text1"/>
        </w:rPr>
        <w:t xml:space="preserve">tle 15. </w:t>
      </w:r>
      <w:r w:rsidRPr="00BA5ECF">
        <w:rPr>
          <w:color w:val="000000" w:themeColor="text1"/>
          <w:u w:color="000000" w:themeColor="text1"/>
        </w:rPr>
        <w:t>The garnishment action must be maintained in magistrates court and is limited to recovery of the maximum amount allowable in magistrates court pursuant to Section 22</w:t>
      </w:r>
      <w:r>
        <w:rPr>
          <w:color w:val="000000" w:themeColor="text1"/>
          <w:u w:color="000000" w:themeColor="text1"/>
        </w:rPr>
        <w:noBreakHyphen/>
      </w:r>
      <w:r w:rsidRPr="00BA5ECF">
        <w:rPr>
          <w:color w:val="000000" w:themeColor="text1"/>
          <w:u w:color="000000" w:themeColor="text1"/>
        </w:rPr>
        <w:t>3</w:t>
      </w:r>
      <w:r>
        <w:rPr>
          <w:color w:val="000000" w:themeColor="text1"/>
          <w:u w:color="000000" w:themeColor="text1"/>
        </w:rPr>
        <w:noBreakHyphen/>
      </w:r>
      <w:r w:rsidRPr="00BA5ECF">
        <w:rPr>
          <w:color w:val="000000" w:themeColor="text1"/>
          <w:u w:color="000000" w:themeColor="text1"/>
        </w:rPr>
        <w:t>10. The recovery must include the amount of the judgment and all costs and charges associated with the judgment and garnishment up to the maximum amount allowable in magistrates court pursuant to Section 22</w:t>
      </w:r>
      <w:r>
        <w:rPr>
          <w:color w:val="000000" w:themeColor="text1"/>
          <w:u w:color="000000" w:themeColor="text1"/>
        </w:rPr>
        <w:noBreakHyphen/>
      </w:r>
      <w:r w:rsidRPr="00BA5ECF">
        <w:rPr>
          <w:color w:val="000000" w:themeColor="text1"/>
          <w:u w:color="000000" w:themeColor="text1"/>
        </w:rPr>
        <w:t>3</w:t>
      </w:r>
      <w:r>
        <w:rPr>
          <w:color w:val="000000" w:themeColor="text1"/>
          <w:u w:color="000000" w:themeColor="text1"/>
        </w:rPr>
        <w:noBreakHyphen/>
      </w:r>
      <w:r w:rsidRPr="00BA5ECF">
        <w:rPr>
          <w:color w:val="000000" w:themeColor="text1"/>
          <w:u w:color="000000" w:themeColor="text1"/>
        </w:rPr>
        <w:t>10.”</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SECTION</w:t>
      </w:r>
      <w:r>
        <w:rPr>
          <w:color w:val="000000" w:themeColor="text1"/>
          <w:u w:color="000000" w:themeColor="text1"/>
        </w:rPr>
        <w:tab/>
      </w:r>
      <w:r w:rsidRPr="00BA5ECF">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Article 1, Chapter 19, Title 15 of the </w:t>
      </w:r>
      <w:r>
        <w:rPr>
          <w:color w:val="000000" w:themeColor="text1"/>
          <w:u w:color="000000" w:themeColor="text1"/>
        </w:rPr>
        <w:t>1976 Code is amended by adding:</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120.</w:t>
      </w:r>
      <w:r>
        <w:rPr>
          <w:color w:val="000000" w:themeColor="text1"/>
          <w:u w:color="000000" w:themeColor="text1"/>
        </w:rPr>
        <w:tab/>
      </w:r>
      <w:r w:rsidRPr="00BA5ECF">
        <w:rPr>
          <w:color w:val="000000" w:themeColor="text1"/>
          <w:u w:color="000000" w:themeColor="text1"/>
        </w:rPr>
        <w:t>(A)</w:t>
      </w:r>
      <w:r>
        <w:rPr>
          <w:color w:val="000000" w:themeColor="text1"/>
          <w:u w:color="000000" w:themeColor="text1"/>
        </w:rPr>
        <w:tab/>
      </w:r>
      <w:r w:rsidRPr="00BA5ECF">
        <w:rPr>
          <w:color w:val="000000" w:themeColor="text1"/>
          <w:u w:color="000000" w:themeColor="text1"/>
        </w:rPr>
        <w:t xml:space="preserve">As </w:t>
      </w:r>
      <w:r>
        <w:rPr>
          <w:color w:val="000000" w:themeColor="text1"/>
          <w:u w:color="000000" w:themeColor="text1"/>
        </w:rPr>
        <w:t>used in this section, the term:</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t>(1)</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Garnishment</w:t>
      </w:r>
      <w:r w:rsidRPr="002F025B">
        <w:rPr>
          <w:color w:val="000000" w:themeColor="text1"/>
          <w:u w:color="000000" w:themeColor="text1"/>
        </w:rPr>
        <w:t>’</w:t>
      </w:r>
      <w:r w:rsidRPr="00BA5ECF">
        <w:rPr>
          <w:color w:val="000000" w:themeColor="text1"/>
          <w:u w:color="000000" w:themeColor="text1"/>
        </w:rPr>
        <w:t xml:space="preserve"> means a legal procedure by which a </w:t>
      </w:r>
      <w:r>
        <w:rPr>
          <w:color w:val="000000" w:themeColor="text1"/>
          <w:u w:color="000000" w:themeColor="text1"/>
        </w:rPr>
        <w:t>person</w:t>
      </w:r>
      <w:r w:rsidRPr="00BA5ECF">
        <w:rPr>
          <w:color w:val="000000" w:themeColor="text1"/>
          <w:u w:color="000000" w:themeColor="text1"/>
        </w:rPr>
        <w:t xml:space="preserve"> can collect what a debtor owes by reaching the debtor</w:t>
      </w:r>
      <w:r w:rsidRPr="002F025B">
        <w:rPr>
          <w:color w:val="000000" w:themeColor="text1"/>
          <w:u w:color="000000" w:themeColor="text1"/>
        </w:rPr>
        <w:t>’</w:t>
      </w:r>
      <w:r w:rsidRPr="00BA5ECF">
        <w:rPr>
          <w:color w:val="000000" w:themeColor="text1"/>
          <w:u w:color="000000" w:themeColor="text1"/>
        </w:rPr>
        <w:t>s earnings which ar</w:t>
      </w:r>
      <w:r>
        <w:rPr>
          <w:color w:val="000000" w:themeColor="text1"/>
          <w:u w:color="000000" w:themeColor="text1"/>
        </w:rPr>
        <w:t>e distributed by the garnishee as authorized by Section 27</w:t>
      </w:r>
      <w:r>
        <w:rPr>
          <w:color w:val="000000" w:themeColor="text1"/>
          <w:u w:color="000000" w:themeColor="text1"/>
        </w:rPr>
        <w:noBreakHyphen/>
        <w:t>40</w:t>
      </w:r>
      <w:r>
        <w:rPr>
          <w:color w:val="000000" w:themeColor="text1"/>
          <w:u w:color="000000" w:themeColor="text1"/>
        </w:rPr>
        <w:noBreakHyphen/>
        <w:t>795.</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Garnishee</w:t>
      </w:r>
      <w:r w:rsidRPr="002F025B">
        <w:rPr>
          <w:color w:val="000000" w:themeColor="text1"/>
          <w:u w:color="000000" w:themeColor="text1"/>
        </w:rPr>
        <w:t>’</w:t>
      </w:r>
      <w:r w:rsidRPr="00BA5ECF">
        <w:rPr>
          <w:color w:val="000000" w:themeColor="text1"/>
          <w:u w:color="000000" w:themeColor="text1"/>
        </w:rPr>
        <w:t xml:space="preserve"> means a</w:t>
      </w:r>
      <w:r>
        <w:rPr>
          <w:color w:val="000000" w:themeColor="text1"/>
          <w:u w:color="000000" w:themeColor="text1"/>
        </w:rPr>
        <w:t xml:space="preserve">n individual </w:t>
      </w:r>
      <w:r w:rsidRPr="00BA5ECF">
        <w:rPr>
          <w:color w:val="000000" w:themeColor="text1"/>
          <w:u w:color="000000" w:themeColor="text1"/>
        </w:rPr>
        <w:t xml:space="preserve">including, but not limited to, the employer of the debtor who distributes the earnings of the debtor which are subject to an attachment by a </w:t>
      </w:r>
      <w:r>
        <w:rPr>
          <w:color w:val="000000" w:themeColor="text1"/>
          <w:u w:color="000000" w:themeColor="text1"/>
        </w:rPr>
        <w:t>person.</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Disposable earnings</w:t>
      </w:r>
      <w:r w:rsidRPr="002F025B">
        <w:rPr>
          <w:color w:val="000000" w:themeColor="text1"/>
          <w:u w:color="000000" w:themeColor="text1"/>
        </w:rPr>
        <w:t>’</w:t>
      </w:r>
      <w:r w:rsidRPr="00BA5ECF">
        <w:rPr>
          <w:color w:val="000000" w:themeColor="text1"/>
          <w:u w:color="000000" w:themeColor="text1"/>
        </w:rPr>
        <w:t xml:space="preserve"> means that part of the earnings of a debtor remaining after the deduction from those earnings of any amount </w:t>
      </w:r>
      <w:r>
        <w:rPr>
          <w:color w:val="000000" w:themeColor="text1"/>
          <w:u w:color="000000" w:themeColor="text1"/>
        </w:rPr>
        <w:t>required by law to be withheld.</w:t>
      </w:r>
    </w:p>
    <w:p w:rsidR="00095CEB"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(4)</w:t>
      </w:r>
      <w:r>
        <w:rPr>
          <w:color w:val="000000" w:themeColor="text1"/>
          <w:u w:color="000000" w:themeColor="text1"/>
        </w:rPr>
        <w:tab/>
      </w:r>
      <w:r w:rsidRPr="002F025B">
        <w:rPr>
          <w:color w:val="000000" w:themeColor="text1"/>
          <w:u w:color="000000" w:themeColor="text1"/>
        </w:rPr>
        <w:t>‘</w:t>
      </w:r>
      <w:r w:rsidRPr="00BA5ECF">
        <w:rPr>
          <w:color w:val="000000" w:themeColor="text1"/>
          <w:u w:color="000000" w:themeColor="text1"/>
        </w:rPr>
        <w:t>Earnings</w:t>
      </w:r>
      <w:r w:rsidRPr="002F025B">
        <w:rPr>
          <w:color w:val="000000" w:themeColor="text1"/>
          <w:u w:color="000000" w:themeColor="text1"/>
        </w:rPr>
        <w:t>’</w:t>
      </w:r>
      <w:r w:rsidRPr="00BA5ECF">
        <w:rPr>
          <w:color w:val="000000" w:themeColor="text1"/>
          <w:u w:color="000000" w:themeColor="text1"/>
        </w:rPr>
        <w:t xml:space="preserve"> means compensation paid or payable for personal services performed by a debtor in the regular course of business including, but not limited to, compensation designated as income, wages, tips, salary, commission or a bonus. The term includes compensation received by a debtor that is in the possession of the debtor, compensation held in accounts maintained in a bank or any other financial institution or, in the case of a receivable, compe</w:t>
      </w:r>
      <w:r>
        <w:rPr>
          <w:color w:val="000000" w:themeColor="text1"/>
          <w:u w:color="000000" w:themeColor="text1"/>
        </w:rPr>
        <w:t>nsation that is due the debtor.</w:t>
      </w:r>
    </w:p>
    <w:p w:rsidR="00095CEB"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F025B">
        <w:rPr>
          <w:color w:val="000000" w:themeColor="text1"/>
          <w:u w:color="000000" w:themeColor="text1"/>
        </w:rPr>
        <w:t>‘</w:t>
      </w:r>
      <w:r>
        <w:rPr>
          <w:color w:val="000000" w:themeColor="text1"/>
          <w:u w:color="000000" w:themeColor="text1"/>
        </w:rPr>
        <w:t>Person</w:t>
      </w:r>
      <w:r w:rsidRPr="002F025B">
        <w:rPr>
          <w:color w:val="000000" w:themeColor="text1"/>
          <w:u w:color="000000" w:themeColor="text1"/>
        </w:rPr>
        <w:t>’</w:t>
      </w:r>
      <w:r>
        <w:rPr>
          <w:color w:val="000000" w:themeColor="text1"/>
          <w:u w:color="000000" w:themeColor="text1"/>
        </w:rPr>
        <w:t xml:space="preserve"> means a party who</w:t>
      </w:r>
      <w:r w:rsidRPr="00BA5ECF">
        <w:rPr>
          <w:color w:val="000000" w:themeColor="text1"/>
          <w:u w:color="000000" w:themeColor="text1"/>
        </w:rPr>
        <w:t xml:space="preserve"> has received a judgment against the debtor</w:t>
      </w:r>
      <w:r>
        <w:rPr>
          <w:color w:val="000000" w:themeColor="text1"/>
          <w:u w:color="000000" w:themeColor="text1"/>
        </w:rPr>
        <w:t xml:space="preserve"> as authorized by Section 27</w:t>
      </w:r>
      <w:r>
        <w:rPr>
          <w:color w:val="000000" w:themeColor="text1"/>
          <w:u w:color="000000" w:themeColor="text1"/>
        </w:rPr>
        <w:noBreakHyphen/>
        <w:t>40</w:t>
      </w:r>
      <w:r>
        <w:rPr>
          <w:color w:val="000000" w:themeColor="text1"/>
          <w:u w:color="000000" w:themeColor="text1"/>
        </w:rPr>
        <w:noBreakHyphen/>
        <w:t>795.</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The maximum amount of the aggregate disposable earnings of a debtor which are subject</w:t>
      </w:r>
      <w:r>
        <w:rPr>
          <w:color w:val="000000" w:themeColor="text1"/>
          <w:u w:color="000000" w:themeColor="text1"/>
        </w:rPr>
        <w:t xml:space="preserve"> to garnishment may not exceed: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twenty</w:t>
      </w:r>
      <w:r>
        <w:rPr>
          <w:color w:val="000000" w:themeColor="text1"/>
          <w:u w:color="000000" w:themeColor="text1"/>
        </w:rPr>
        <w:noBreakHyphen/>
      </w:r>
      <w:r w:rsidRPr="00BA5ECF">
        <w:rPr>
          <w:color w:val="000000" w:themeColor="text1"/>
          <w:u w:color="000000" w:themeColor="text1"/>
        </w:rPr>
        <w:t>five percent of the debtor</w:t>
      </w:r>
      <w:r w:rsidRPr="002F025B">
        <w:rPr>
          <w:color w:val="000000" w:themeColor="text1"/>
          <w:u w:color="000000" w:themeColor="text1"/>
        </w:rPr>
        <w:t>’</w:t>
      </w:r>
      <w:r w:rsidRPr="00BA5ECF">
        <w:rPr>
          <w:color w:val="000000" w:themeColor="text1"/>
          <w:u w:color="000000" w:themeColor="text1"/>
        </w:rPr>
        <w:t>s disposable earning</w:t>
      </w:r>
      <w:r>
        <w:rPr>
          <w:color w:val="000000" w:themeColor="text1"/>
          <w:u w:color="000000" w:themeColor="text1"/>
        </w:rPr>
        <w:t>s for the relevant workweek;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the amount by which the debtor</w:t>
      </w:r>
      <w:r w:rsidRPr="002F025B">
        <w:rPr>
          <w:color w:val="000000" w:themeColor="text1"/>
          <w:u w:color="000000" w:themeColor="text1"/>
        </w:rPr>
        <w:t>’</w:t>
      </w:r>
      <w:r w:rsidRPr="00BA5ECF">
        <w:rPr>
          <w:color w:val="000000" w:themeColor="text1"/>
          <w:u w:color="000000" w:themeColor="text1"/>
        </w:rPr>
        <w:t xml:space="preserve">s disposable earnings for that week exceed </w:t>
      </w:r>
      <w:r>
        <w:rPr>
          <w:color w:val="000000" w:themeColor="text1"/>
          <w:u w:color="000000" w:themeColor="text1"/>
        </w:rPr>
        <w:t>thirty</w:t>
      </w:r>
      <w:r w:rsidRPr="00BA5ECF">
        <w:rPr>
          <w:color w:val="000000" w:themeColor="text1"/>
          <w:u w:color="000000" w:themeColor="text1"/>
        </w:rPr>
        <w:t xml:space="preserve"> times the federal minimum hourly wage prescribed in section 6(a)(1) of the federal Fair Labor Standards Act of 1938, 29 U.S.C. Section 206(a)(1), in effect at the time the earnings </w:t>
      </w:r>
      <w:r>
        <w:rPr>
          <w:color w:val="000000" w:themeColor="text1"/>
          <w:u w:color="000000" w:themeColor="text1"/>
        </w:rPr>
        <w:t>are payable, whichever is less.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The restrictions of subsection (B)</w:t>
      </w:r>
      <w:r>
        <w:rPr>
          <w:color w:val="000000" w:themeColor="text1"/>
          <w:u w:color="000000" w:themeColor="text1"/>
        </w:rPr>
        <w:t xml:space="preserve"> do not apply in the case of a:</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court order for</w:t>
      </w:r>
      <w:r>
        <w:rPr>
          <w:color w:val="000000" w:themeColor="text1"/>
          <w:u w:color="000000" w:themeColor="text1"/>
        </w:rPr>
        <w:t xml:space="preserve"> the support of another person;</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t>court order of bankruptcy;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A5ECF">
        <w:rPr>
          <w:color w:val="000000" w:themeColor="text1"/>
          <w:u w:color="000000" w:themeColor="text1"/>
        </w:rPr>
        <w:t xml:space="preserve">debt </w:t>
      </w:r>
      <w:r>
        <w:rPr>
          <w:color w:val="000000" w:themeColor="text1"/>
          <w:u w:color="000000" w:themeColor="text1"/>
        </w:rPr>
        <w:t>due for state or federal taxes.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Except as otherwise provided in this subsection, the maximum amount of the aggregate disposable earnings of a debtor for any workweek which are subject to garnishment to enforce an order for the support of</w:t>
      </w:r>
      <w:r>
        <w:rPr>
          <w:color w:val="000000" w:themeColor="text1"/>
          <w:u w:color="000000" w:themeColor="text1"/>
        </w:rPr>
        <w:t xml:space="preserve"> another person may not exceed: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fifty percent of the debtor</w:t>
      </w:r>
      <w:r w:rsidRPr="002F025B">
        <w:rPr>
          <w:color w:val="000000" w:themeColor="text1"/>
          <w:u w:color="000000" w:themeColor="text1"/>
        </w:rPr>
        <w:t>’</w:t>
      </w:r>
      <w:r w:rsidRPr="00BA5ECF">
        <w:rPr>
          <w:color w:val="000000" w:themeColor="text1"/>
          <w:u w:color="000000" w:themeColor="text1"/>
        </w:rPr>
        <w:t>s disposable earnings for that week if the debtor is supporting a spouse or child other than the spouse or child for whom the or</w:t>
      </w:r>
      <w:r>
        <w:rPr>
          <w:color w:val="000000" w:themeColor="text1"/>
          <w:u w:color="000000" w:themeColor="text1"/>
        </w:rPr>
        <w:t>der of support was rendered; or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sixty percent of the debtor</w:t>
      </w:r>
      <w:r w:rsidRPr="002F025B">
        <w:rPr>
          <w:color w:val="000000" w:themeColor="text1"/>
          <w:u w:color="000000" w:themeColor="text1"/>
        </w:rPr>
        <w:t>’</w:t>
      </w:r>
      <w:r w:rsidRPr="00BA5ECF">
        <w:rPr>
          <w:color w:val="000000" w:themeColor="text1"/>
          <w:u w:color="000000" w:themeColor="text1"/>
        </w:rPr>
        <w:t>s disposable earnings for that week if the debtor is no</w:t>
      </w:r>
      <w:r>
        <w:rPr>
          <w:color w:val="000000" w:themeColor="text1"/>
          <w:u w:color="000000" w:themeColor="text1"/>
        </w:rPr>
        <w:t>t supporting a spouse or child.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If the garnishment is to enforce a previous order of support with respect to a period occurring at least twelve weeks before the beginning of the workweek, the limits which apply to the situations described in items (1) and (2) are fifty</w:t>
      </w:r>
      <w:r>
        <w:rPr>
          <w:color w:val="000000" w:themeColor="text1"/>
          <w:u w:color="000000" w:themeColor="text1"/>
        </w:rPr>
        <w:noBreakHyphen/>
      </w:r>
      <w:r w:rsidRPr="00BA5ECF">
        <w:rPr>
          <w:color w:val="000000" w:themeColor="text1"/>
          <w:u w:color="000000" w:themeColor="text1"/>
        </w:rPr>
        <w:t>five percent and six</w:t>
      </w:r>
      <w:r>
        <w:rPr>
          <w:color w:val="000000" w:themeColor="text1"/>
          <w:u w:color="000000" w:themeColor="text1"/>
        </w:rPr>
        <w:t>ty</w:t>
      </w:r>
      <w:r>
        <w:rPr>
          <w:color w:val="000000" w:themeColor="text1"/>
          <w:u w:color="000000" w:themeColor="text1"/>
        </w:rPr>
        <w:noBreakHyphen/>
        <w:t>five percent, respectively.</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BA5ECF">
        <w:rPr>
          <w:color w:val="000000" w:themeColor="text1"/>
          <w:u w:color="000000" w:themeColor="text1"/>
        </w:rPr>
        <w:t>If the garnishee indicates in his answer to interrogatories that he is the employer of the debtor, the writ of garnishment served on the garnishee is deemed to continue for one hundred eighty days or until the amount demanded in the writ is satis</w:t>
      </w:r>
      <w:r>
        <w:rPr>
          <w:color w:val="000000" w:themeColor="text1"/>
          <w:u w:color="000000" w:themeColor="text1"/>
        </w:rPr>
        <w:t>fied, whichever occurs earlier.</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A5ECF">
        <w:rPr>
          <w:color w:val="000000" w:themeColor="text1"/>
          <w:u w:color="000000" w:themeColor="text1"/>
        </w:rPr>
        <w:t>A garnishee is entitled to a fee from the debtor of three dollars per pay period, not to exceed twelve dollars per month, for each withholding made of the debtor</w:t>
      </w:r>
      <w:r w:rsidRPr="002F025B">
        <w:rPr>
          <w:color w:val="000000" w:themeColor="text1"/>
          <w:u w:color="000000" w:themeColor="text1"/>
        </w:rPr>
        <w:t>’</w:t>
      </w:r>
      <w:r w:rsidRPr="00BA5ECF">
        <w:rPr>
          <w:color w:val="000000" w:themeColor="text1"/>
          <w:u w:color="000000" w:themeColor="text1"/>
        </w:rPr>
        <w:t>s earnings. This subsection does not apply to the first pay period in which the d</w:t>
      </w:r>
      <w:r>
        <w:rPr>
          <w:color w:val="000000" w:themeColor="text1"/>
          <w:u w:color="000000" w:themeColor="text1"/>
        </w:rPr>
        <w:t>ebtor</w:t>
      </w:r>
      <w:r w:rsidRPr="002F025B">
        <w:rPr>
          <w:color w:val="000000" w:themeColor="text1"/>
          <w:u w:color="000000" w:themeColor="text1"/>
        </w:rPr>
        <w:t>’</w:t>
      </w:r>
      <w:r>
        <w:rPr>
          <w:color w:val="000000" w:themeColor="text1"/>
          <w:u w:color="000000" w:themeColor="text1"/>
        </w:rPr>
        <w:t>s earnings are garnished.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BA5ECF">
        <w:rPr>
          <w:color w:val="000000" w:themeColor="text1"/>
          <w:u w:color="000000" w:themeColor="text1"/>
        </w:rPr>
        <w:t>If the debtor</w:t>
      </w:r>
      <w:r w:rsidRPr="002F025B">
        <w:rPr>
          <w:color w:val="000000" w:themeColor="text1"/>
          <w:u w:color="000000" w:themeColor="text1"/>
        </w:rPr>
        <w:t>’</w:t>
      </w:r>
      <w:r w:rsidRPr="00BA5ECF">
        <w:rPr>
          <w:color w:val="000000" w:themeColor="text1"/>
          <w:u w:color="000000" w:themeColor="text1"/>
        </w:rPr>
        <w:t>s employment by the garnishee is terminated before the writ of garnishme</w:t>
      </w:r>
      <w:r>
        <w:rPr>
          <w:color w:val="000000" w:themeColor="text1"/>
          <w:u w:color="000000" w:themeColor="text1"/>
        </w:rPr>
        <w:t>nt is satisfied, the garnishee:</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BA5ECF">
        <w:rPr>
          <w:color w:val="000000" w:themeColor="text1"/>
          <w:u w:color="000000" w:themeColor="text1"/>
        </w:rPr>
        <w:t>is liable only for the amount of earned but unpaid, disposable earnings that are subject to garnishment; and</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sidRPr="00BA5E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A5ECF">
        <w:rPr>
          <w:color w:val="000000" w:themeColor="text1"/>
          <w:u w:color="000000" w:themeColor="text1"/>
        </w:rPr>
        <w:t xml:space="preserve">shall provide the </w:t>
      </w:r>
      <w:r>
        <w:rPr>
          <w:color w:val="000000" w:themeColor="text1"/>
          <w:u w:color="000000" w:themeColor="text1"/>
        </w:rPr>
        <w:t>person</w:t>
      </w:r>
      <w:r w:rsidRPr="00BA5ECF">
        <w:rPr>
          <w:color w:val="000000" w:themeColor="text1"/>
          <w:u w:color="000000" w:themeColor="text1"/>
        </w:rPr>
        <w:t xml:space="preserve"> or </w:t>
      </w:r>
      <w:r>
        <w:rPr>
          <w:color w:val="000000" w:themeColor="text1"/>
          <w:u w:color="000000" w:themeColor="text1"/>
        </w:rPr>
        <w:t>his</w:t>
      </w:r>
      <w:r w:rsidRPr="00BA5ECF">
        <w:rPr>
          <w:color w:val="000000" w:themeColor="text1"/>
          <w:u w:color="000000" w:themeColor="text1"/>
        </w:rPr>
        <w:t xml:space="preserve"> attorney with the last known address of the debtor and the name of any new employer of the deb</w:t>
      </w:r>
      <w:r>
        <w:rPr>
          <w:color w:val="000000" w:themeColor="text1"/>
          <w:u w:color="000000" w:themeColor="text1"/>
        </w:rPr>
        <w:t>tor, if known by the garnishee.</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A5ECF">
        <w:rPr>
          <w:color w:val="000000" w:themeColor="text1"/>
          <w:u w:color="000000" w:themeColor="text1"/>
        </w:rPr>
        <w:t xml:space="preserve">The </w:t>
      </w:r>
      <w:r>
        <w:rPr>
          <w:color w:val="000000" w:themeColor="text1"/>
          <w:u w:color="000000" w:themeColor="text1"/>
        </w:rPr>
        <w:t>person</w:t>
      </w:r>
      <w:r w:rsidRPr="00BA5ECF">
        <w:rPr>
          <w:color w:val="000000" w:themeColor="text1"/>
          <w:u w:color="000000" w:themeColor="text1"/>
        </w:rPr>
        <w:t xml:space="preserve"> who caused the writ of garnishment to be issued shall prepare an accounting and provide a report to the debtor, the sheriff, and each garnishee every one hundred eighty days which includes, but is not limited to, the amount owed by the debtor, the costs and fees allowed, and any accrued interest and costs on the judgment.</w:t>
      </w:r>
      <w:r>
        <w:rPr>
          <w:color w:val="000000" w:themeColor="text1"/>
          <w:u w:color="000000" w:themeColor="text1"/>
        </w:rPr>
        <w:t xml:space="preserve"> </w:t>
      </w:r>
      <w:r w:rsidRPr="00BA5ECF">
        <w:rPr>
          <w:color w:val="000000" w:themeColor="text1"/>
          <w:u w:color="000000" w:themeColor="text1"/>
        </w:rPr>
        <w:t>The report must provide notice to the debtor of the debtor</w:t>
      </w:r>
      <w:r w:rsidRPr="002F025B">
        <w:rPr>
          <w:color w:val="000000" w:themeColor="text1"/>
          <w:u w:color="000000" w:themeColor="text1"/>
        </w:rPr>
        <w:t>’</w:t>
      </w:r>
      <w:r w:rsidRPr="00BA5ECF">
        <w:rPr>
          <w:color w:val="000000" w:themeColor="text1"/>
          <w:u w:color="000000" w:themeColor="text1"/>
        </w:rPr>
        <w:t xml:space="preserve">s right to request a hearing to dispute any accrued interest, fee, or other charge. The </w:t>
      </w:r>
      <w:r>
        <w:rPr>
          <w:color w:val="000000" w:themeColor="text1"/>
          <w:u w:color="000000" w:themeColor="text1"/>
        </w:rPr>
        <w:t xml:space="preserve">person </w:t>
      </w:r>
      <w:r w:rsidRPr="00BA5ECF">
        <w:rPr>
          <w:color w:val="000000" w:themeColor="text1"/>
          <w:u w:color="000000" w:themeColor="text1"/>
        </w:rPr>
        <w:t xml:space="preserve">must submit this accounting with each subsequent application for writ made by the </w:t>
      </w:r>
      <w:r>
        <w:rPr>
          <w:color w:val="000000" w:themeColor="text1"/>
          <w:u w:color="000000" w:themeColor="text1"/>
        </w:rPr>
        <w:t>person concerning the same debt.</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t>140.</w:t>
      </w:r>
      <w:r>
        <w:rPr>
          <w:color w:val="000000" w:themeColor="text1"/>
          <w:u w:color="000000" w:themeColor="text1"/>
        </w:rPr>
        <w:tab/>
        <w:t>(A)</w:t>
      </w:r>
      <w:r>
        <w:rPr>
          <w:color w:val="000000" w:themeColor="text1"/>
          <w:u w:color="000000" w:themeColor="text1"/>
        </w:rPr>
        <w:tab/>
      </w:r>
      <w:r w:rsidRPr="00BA5ECF">
        <w:rPr>
          <w:color w:val="000000" w:themeColor="text1"/>
          <w:u w:color="000000" w:themeColor="text1"/>
        </w:rPr>
        <w:t>Without legal justification, if an employer of the debtor refuses to withhold earnings of the debtor demanded in a writ of garnishment or knowingly misrepresents the earnings of the debtor, the court may order the employer to appear and show cause why the employer should not be subject to the penalties p</w:t>
      </w:r>
      <w:r>
        <w:rPr>
          <w:color w:val="000000" w:themeColor="text1"/>
          <w:u w:color="000000" w:themeColor="text1"/>
        </w:rPr>
        <w:t>rovided in subsection (B).</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5ECF">
        <w:rPr>
          <w:color w:val="000000" w:themeColor="text1"/>
          <w:u w:color="000000" w:themeColor="text1"/>
        </w:rPr>
        <w:tab/>
        <w:t>(B)</w:t>
      </w:r>
      <w:r>
        <w:rPr>
          <w:color w:val="000000" w:themeColor="text1"/>
          <w:u w:color="000000" w:themeColor="text1"/>
        </w:rPr>
        <w:tab/>
      </w:r>
      <w:r w:rsidRPr="00BA5ECF">
        <w:rPr>
          <w:color w:val="000000" w:themeColor="text1"/>
          <w:u w:color="000000" w:themeColor="text1"/>
        </w:rPr>
        <w:t xml:space="preserve">After a hearing upon the order to show cause, if the court determines that an employer, without legal justification, refused to withhold the earnings of a debtor demanded in a writ of garnishment or knowingly misrepresented the earnings of the debtor, the court shall order the employer to pay the </w:t>
      </w:r>
      <w:r>
        <w:rPr>
          <w:color w:val="000000" w:themeColor="text1"/>
          <w:u w:color="000000" w:themeColor="text1"/>
        </w:rPr>
        <w:t>person</w:t>
      </w:r>
      <w:r w:rsidRPr="00BA5ECF">
        <w:rPr>
          <w:color w:val="000000" w:themeColor="text1"/>
          <w:u w:color="000000" w:themeColor="text1"/>
        </w:rPr>
        <w:t xml:space="preserve">, if the </w:t>
      </w:r>
      <w:r>
        <w:rPr>
          <w:color w:val="000000" w:themeColor="text1"/>
          <w:u w:color="000000" w:themeColor="text1"/>
        </w:rPr>
        <w:t>person</w:t>
      </w:r>
      <w:r w:rsidRPr="00BA5ECF">
        <w:rPr>
          <w:color w:val="000000" w:themeColor="text1"/>
          <w:u w:color="000000" w:themeColor="text1"/>
        </w:rPr>
        <w:t xml:space="preserve"> has received a judgment against the debtor, the amount of arrearages caused by the employer</w:t>
      </w:r>
      <w:r w:rsidRPr="002F025B">
        <w:rPr>
          <w:color w:val="000000" w:themeColor="text1"/>
          <w:u w:color="000000" w:themeColor="text1"/>
        </w:rPr>
        <w:t>’</w:t>
      </w:r>
      <w:r w:rsidRPr="00BA5ECF">
        <w:rPr>
          <w:color w:val="000000" w:themeColor="text1"/>
          <w:u w:color="000000" w:themeColor="text1"/>
        </w:rPr>
        <w:t>s refusal to withhold or the employer</w:t>
      </w:r>
      <w:r w:rsidRPr="002F025B">
        <w:rPr>
          <w:color w:val="000000" w:themeColor="text1"/>
          <w:u w:color="000000" w:themeColor="text1"/>
        </w:rPr>
        <w:t>’</w:t>
      </w:r>
      <w:r w:rsidRPr="00BA5ECF">
        <w:rPr>
          <w:color w:val="000000" w:themeColor="text1"/>
          <w:u w:color="000000" w:themeColor="text1"/>
        </w:rPr>
        <w:t>s misrepresent</w:t>
      </w:r>
      <w:r>
        <w:rPr>
          <w:color w:val="000000" w:themeColor="text1"/>
          <w:u w:color="000000" w:themeColor="text1"/>
        </w:rPr>
        <w:t>ation of the debtor</w:t>
      </w:r>
      <w:r w:rsidRPr="002F025B">
        <w:rPr>
          <w:color w:val="000000" w:themeColor="text1"/>
          <w:u w:color="000000" w:themeColor="text1"/>
        </w:rPr>
        <w:t>’</w:t>
      </w:r>
      <w:r>
        <w:rPr>
          <w:color w:val="000000" w:themeColor="text1"/>
          <w:u w:color="000000" w:themeColor="text1"/>
        </w:rPr>
        <w:t xml:space="preserve">s earnings. </w:t>
      </w:r>
      <w:r w:rsidRPr="00BA5ECF">
        <w:rPr>
          <w:color w:val="000000" w:themeColor="text1"/>
          <w:u w:color="000000" w:themeColor="text1"/>
        </w:rPr>
        <w:t xml:space="preserve">In addition, the court may order the employer to pay the </w:t>
      </w:r>
      <w:r>
        <w:rPr>
          <w:color w:val="000000" w:themeColor="text1"/>
          <w:u w:color="000000" w:themeColor="text1"/>
        </w:rPr>
        <w:t>person</w:t>
      </w:r>
      <w:r w:rsidRPr="00BA5ECF">
        <w:rPr>
          <w:color w:val="000000" w:themeColor="text1"/>
          <w:u w:color="000000" w:themeColor="text1"/>
        </w:rPr>
        <w:t xml:space="preserve"> punitive damages of not more than one thousand dollars for each pay period in which the employer has, without legal justification, refused to withhold the debtor</w:t>
      </w:r>
      <w:r w:rsidRPr="002F025B">
        <w:rPr>
          <w:color w:val="000000" w:themeColor="text1"/>
          <w:u w:color="000000" w:themeColor="text1"/>
        </w:rPr>
        <w:t>’</w:t>
      </w:r>
      <w:r w:rsidRPr="00BA5ECF">
        <w:rPr>
          <w:color w:val="000000" w:themeColor="text1"/>
          <w:u w:color="000000" w:themeColor="text1"/>
        </w:rPr>
        <w:t>s earnings or ha</w:t>
      </w:r>
      <w:r>
        <w:rPr>
          <w:color w:val="000000" w:themeColor="text1"/>
          <w:u w:color="000000" w:themeColor="text1"/>
        </w:rPr>
        <w:t>s misrepresented the earnings.</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5ECF">
        <w:rPr>
          <w:color w:val="000000" w:themeColor="text1"/>
          <w:u w:color="000000" w:themeColor="text1"/>
        </w:rPr>
        <w:t>Section 15</w:t>
      </w:r>
      <w:r>
        <w:rPr>
          <w:color w:val="000000" w:themeColor="text1"/>
          <w:u w:color="000000" w:themeColor="text1"/>
        </w:rPr>
        <w:noBreakHyphen/>
      </w:r>
      <w:r w:rsidRPr="00BA5ECF">
        <w:rPr>
          <w:color w:val="000000" w:themeColor="text1"/>
          <w:u w:color="000000" w:themeColor="text1"/>
        </w:rPr>
        <w:t>19</w:t>
      </w:r>
      <w:r>
        <w:rPr>
          <w:color w:val="000000" w:themeColor="text1"/>
          <w:u w:color="000000" w:themeColor="text1"/>
        </w:rPr>
        <w:noBreakHyphen/>
      </w:r>
      <w:r w:rsidRPr="00BA5ECF">
        <w:rPr>
          <w:color w:val="000000" w:themeColor="text1"/>
          <w:u w:color="000000" w:themeColor="text1"/>
        </w:rPr>
        <w:t>150.</w:t>
      </w:r>
      <w:r>
        <w:rPr>
          <w:color w:val="000000" w:themeColor="text1"/>
          <w:u w:color="000000" w:themeColor="text1"/>
        </w:rPr>
        <w:tab/>
      </w:r>
      <w:r w:rsidRPr="00BA5ECF">
        <w:rPr>
          <w:color w:val="000000" w:themeColor="text1"/>
          <w:u w:color="000000" w:themeColor="text1"/>
        </w:rPr>
        <w:t>It is unlawful for an employer to discharge or discipline an employee exclusively because the employer is required to withhold the employee</w:t>
      </w:r>
      <w:r w:rsidRPr="002F025B">
        <w:rPr>
          <w:color w:val="000000" w:themeColor="text1"/>
          <w:u w:color="000000" w:themeColor="text1"/>
        </w:rPr>
        <w:t>’</w:t>
      </w:r>
      <w:r w:rsidRPr="00BA5ECF">
        <w:rPr>
          <w:color w:val="000000" w:themeColor="text1"/>
          <w:u w:color="000000" w:themeColor="text1"/>
        </w:rPr>
        <w:t>s earnings purs</w:t>
      </w:r>
      <w:r>
        <w:rPr>
          <w:color w:val="000000" w:themeColor="text1"/>
          <w:u w:color="000000" w:themeColor="text1"/>
        </w:rPr>
        <w:t>uant to a writ of garnishment.”</w:t>
      </w:r>
    </w:p>
    <w:p w:rsidR="00095CEB" w:rsidRPr="00BA5ECF"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95CEB" w:rsidP="0009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A5ECF">
        <w:rPr>
          <w:color w:val="000000" w:themeColor="text1"/>
          <w:u w:color="000000" w:themeColor="text1"/>
        </w:rPr>
        <w:t>SECTION</w:t>
      </w:r>
      <w:r>
        <w:rPr>
          <w:color w:val="000000" w:themeColor="text1"/>
          <w:u w:color="000000" w:themeColor="text1"/>
        </w:rPr>
        <w:tab/>
        <w:t>3</w:t>
      </w:r>
      <w:r w:rsidRPr="00BA5ECF">
        <w:rPr>
          <w:color w:val="000000" w:themeColor="text1"/>
          <w:u w:color="000000" w:themeColor="text1"/>
        </w:rPr>
        <w:t>.</w:t>
      </w:r>
      <w:r>
        <w:rPr>
          <w:color w:val="000000" w:themeColor="text1"/>
          <w:u w:color="000000" w:themeColor="text1"/>
        </w:rPr>
        <w:tab/>
      </w:r>
      <w:r w:rsidRPr="00BA5ECF">
        <w:rPr>
          <w:color w:val="000000" w:themeColor="text1"/>
          <w:u w:color="000000" w:themeColor="text1"/>
        </w:rPr>
        <w:t>This act takes effect</w:t>
      </w:r>
      <w:r>
        <w:rPr>
          <w:color w:val="000000" w:themeColor="text1"/>
          <w:u w:color="000000" w:themeColor="text1"/>
        </w:rPr>
        <w:t xml:space="preserve"> upon approval by the Governor.</w:t>
      </w:r>
    </w:p>
    <w:p w:rsidR="00425B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5DCA" w:rsidRDefault="00D95DCA" w:rsidP="00D95DCA">
      <w:pPr>
        <w:suppressAutoHyphens/>
        <w:jc w:val="both"/>
        <w:rPr>
          <w:rFonts w:eastAsia="Times New Roman"/>
        </w:rPr>
      </w:pPr>
    </w:p>
    <w:sectPr w:rsidR="00D95DCA" w:rsidSect="00D95D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174" w:rsidRDefault="00F24174" w:rsidP="00522CE0">
      <w:r>
        <w:separator/>
      </w:r>
    </w:p>
  </w:endnote>
  <w:endnote w:type="continuationSeparator" w:id="0">
    <w:p w:rsidR="00F24174" w:rsidRDefault="00F241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9A20A4-8556-43A5-BB53-06B7F17BE9F3}"/>
    <w:embedBold r:id="rId2" w:fontKey="{E0E170E8-FCF7-4BE1-9527-B2D10D13BBC3}"/>
  </w:font>
  <w:font w:name="Calibri">
    <w:panose1 w:val="020F0502020204030204"/>
    <w:charset w:val="00"/>
    <w:family w:val="swiss"/>
    <w:pitch w:val="variable"/>
    <w:sig w:usb0="E00002FF" w:usb1="4000ACFF" w:usb2="00000001" w:usb3="00000000" w:csb0="0000019F" w:csb1="00000000"/>
    <w:embedRegular r:id="rId3" w:fontKey="{E023BC5B-0F56-47C9-BE60-E30BD72219BF}"/>
    <w:embedBold r:id="rId4" w:fontKey="{474AD515-7D69-45A4-BA94-30AB8D5A1BD5}"/>
  </w:font>
  <w:font w:name="Cambria">
    <w:panose1 w:val="02040503050406030204"/>
    <w:charset w:val="00"/>
    <w:family w:val="roman"/>
    <w:pitch w:val="variable"/>
    <w:sig w:usb0="E00002FF" w:usb1="400004FF" w:usb2="00000000" w:usb3="00000000" w:csb0="0000019F" w:csb1="00000000"/>
    <w:embedRegular r:id="rId5" w:fontKey="{81A901AC-0304-4BA2-9AAE-0F949A793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A" w:rsidRPr="0049673F" w:rsidRDefault="00D95DCA" w:rsidP="0049673F">
    <w:pPr>
      <w:pStyle w:val="Footer"/>
      <w:tabs>
        <w:tab w:val="clear" w:pos="4680"/>
        <w:tab w:val="clear" w:pos="9360"/>
        <w:tab w:val="center" w:pos="2995"/>
      </w:tabs>
      <w:spacing w:before="120"/>
    </w:pPr>
    <w:r>
      <w:t>[38]</w:t>
    </w:r>
    <w:r>
      <w:tab/>
    </w:r>
    <w:r>
      <w:fldChar w:fldCharType="begin"/>
    </w:r>
    <w:r>
      <w:instrText xml:space="preserve"> PAGE  \* MERGEFORMAT </w:instrText>
    </w:r>
    <w:r>
      <w:fldChar w:fldCharType="separate"/>
    </w:r>
    <w:r w:rsidR="00F556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174" w:rsidRDefault="00F24174" w:rsidP="00522CE0">
      <w:r>
        <w:separator/>
      </w:r>
    </w:p>
  </w:footnote>
  <w:footnote w:type="continuationSeparator" w:id="0">
    <w:p w:rsidR="00F24174" w:rsidRDefault="00F241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SI.KMM.KLB"/>
    <w:docVar w:name="CoverAttorneyInitials" w:val="KMM"/>
    <w:docVar w:name="CoverAttorneyLastName" w:val="Moffitt"/>
    <w:docVar w:name="CoverBillType" w:val="b"/>
    <w:docVar w:name="CoverSenator" w:val="KLB"/>
    <w:docVar w:name="dvBillNumber" w:val="38"/>
    <w:docVar w:name="dvBillNumberPrefix" w:val="S. "/>
    <w:docVar w:name="dvOriginalBody" w:val="Senate"/>
    <w:docVar w:name="fulldraftpath" w:val="L:\S-RES\KLB\005RESI.KMM.KLB.DOCX"/>
    <w:docVar w:name="NameofBody" w:val="S"/>
    <w:docVar w:name="vgroup2" w:val="S-RES"/>
  </w:docVars>
  <w:rsids>
    <w:rsidRoot w:val="00AA6863"/>
    <w:rsid w:val="0001430D"/>
    <w:rsid w:val="00042AC1"/>
    <w:rsid w:val="00046516"/>
    <w:rsid w:val="0007601D"/>
    <w:rsid w:val="00095CEB"/>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27284"/>
    <w:rsid w:val="00383247"/>
    <w:rsid w:val="003C2EFB"/>
    <w:rsid w:val="003D6E2B"/>
    <w:rsid w:val="003E7597"/>
    <w:rsid w:val="00425B18"/>
    <w:rsid w:val="0044020F"/>
    <w:rsid w:val="00450668"/>
    <w:rsid w:val="004813A2"/>
    <w:rsid w:val="004952FA"/>
    <w:rsid w:val="0049673F"/>
    <w:rsid w:val="004B6A22"/>
    <w:rsid w:val="004D7F37"/>
    <w:rsid w:val="00522CE0"/>
    <w:rsid w:val="00565148"/>
    <w:rsid w:val="00570403"/>
    <w:rsid w:val="00593361"/>
    <w:rsid w:val="005A413B"/>
    <w:rsid w:val="005A5017"/>
    <w:rsid w:val="005A648C"/>
    <w:rsid w:val="005F1745"/>
    <w:rsid w:val="006A1802"/>
    <w:rsid w:val="006C74EA"/>
    <w:rsid w:val="00717F15"/>
    <w:rsid w:val="00720D40"/>
    <w:rsid w:val="007318D4"/>
    <w:rsid w:val="00765784"/>
    <w:rsid w:val="007A4390"/>
    <w:rsid w:val="007E5CB7"/>
    <w:rsid w:val="00801CC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6863"/>
    <w:rsid w:val="00AB69DB"/>
    <w:rsid w:val="00AE59C8"/>
    <w:rsid w:val="00B10098"/>
    <w:rsid w:val="00B5790D"/>
    <w:rsid w:val="00B72D36"/>
    <w:rsid w:val="00B945C5"/>
    <w:rsid w:val="00BA20EA"/>
    <w:rsid w:val="00BB5AFC"/>
    <w:rsid w:val="00BC0A56"/>
    <w:rsid w:val="00BE3923"/>
    <w:rsid w:val="00C45366"/>
    <w:rsid w:val="00C57023"/>
    <w:rsid w:val="00C74052"/>
    <w:rsid w:val="00CB187A"/>
    <w:rsid w:val="00CB2C9C"/>
    <w:rsid w:val="00CC0EC7"/>
    <w:rsid w:val="00D1088B"/>
    <w:rsid w:val="00D14DE6"/>
    <w:rsid w:val="00D156D2"/>
    <w:rsid w:val="00D53E29"/>
    <w:rsid w:val="00D86943"/>
    <w:rsid w:val="00D95DCA"/>
    <w:rsid w:val="00DA47B9"/>
    <w:rsid w:val="00DC62A9"/>
    <w:rsid w:val="00E058D3"/>
    <w:rsid w:val="00E76AD9"/>
    <w:rsid w:val="00E91E2F"/>
    <w:rsid w:val="00EA3546"/>
    <w:rsid w:val="00EB47AE"/>
    <w:rsid w:val="00EC34E1"/>
    <w:rsid w:val="00F0234A"/>
    <w:rsid w:val="00F05CF2"/>
    <w:rsid w:val="00F24174"/>
    <w:rsid w:val="00F51241"/>
    <w:rsid w:val="00F52959"/>
    <w:rsid w:val="00F556C8"/>
    <w:rsid w:val="00F55884"/>
    <w:rsid w:val="00F7516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D18E78C2-FA88-45BE-A9F8-33C9C321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95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1287</Words>
  <Characters>7342</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 Residential Landlord and Tenant Act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