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323" w:rsidRDefault="00A21323" w:rsidP="00A21323">
      <w:pPr>
        <w:widowControl w:val="0"/>
        <w:jc w:val="center"/>
      </w:pPr>
      <w:bookmarkStart w:id="0" w:name="_GoBack"/>
      <w:bookmarkEnd w:id="0"/>
      <w:r w:rsidRPr="00A21323">
        <w:rPr>
          <w:b/>
        </w:rPr>
        <w:t>South Carolina General Assembly</w:t>
      </w:r>
    </w:p>
    <w:p w:rsidR="00A21323" w:rsidRDefault="00A21323" w:rsidP="00A21323">
      <w:pPr>
        <w:widowControl w:val="0"/>
        <w:jc w:val="center"/>
      </w:pPr>
      <w:r>
        <w:t>121st Session, 2015-2016</w:t>
      </w:r>
    </w:p>
    <w:p w:rsidR="00A21323" w:rsidRDefault="00A21323" w:rsidP="00A21323">
      <w:pPr>
        <w:widowControl w:val="0"/>
        <w:jc w:val="left"/>
      </w:pPr>
    </w:p>
    <w:p w:rsidR="00A21323" w:rsidRDefault="00A21323" w:rsidP="00A21323">
      <w:pPr>
        <w:widowControl w:val="0"/>
        <w:jc w:val="left"/>
        <w:rPr>
          <w:b/>
        </w:rPr>
      </w:pPr>
      <w:r w:rsidRPr="00A21323">
        <w:rPr>
          <w:b/>
        </w:rPr>
        <w:t>H. 4450</w:t>
      </w:r>
    </w:p>
    <w:p w:rsidR="00A21323" w:rsidRDefault="00A21323" w:rsidP="00A21323">
      <w:pPr>
        <w:widowControl w:val="0"/>
        <w:jc w:val="left"/>
        <w:rPr>
          <w:b/>
        </w:rPr>
      </w:pPr>
    </w:p>
    <w:p w:rsidR="00A21323" w:rsidRDefault="00A21323" w:rsidP="00A21323">
      <w:pPr>
        <w:widowControl w:val="0"/>
        <w:jc w:val="left"/>
      </w:pPr>
      <w:r w:rsidRPr="00A21323">
        <w:rPr>
          <w:b/>
        </w:rPr>
        <w:t>STATUS INFORMATION</w:t>
      </w:r>
    </w:p>
    <w:p w:rsidR="00A21323" w:rsidRDefault="00A21323" w:rsidP="00A21323">
      <w:pPr>
        <w:widowControl w:val="0"/>
        <w:jc w:val="left"/>
      </w:pPr>
    </w:p>
    <w:p w:rsidR="00A21323" w:rsidRDefault="00A21323" w:rsidP="00A21323">
      <w:pPr>
        <w:widowControl w:val="0"/>
        <w:jc w:val="left"/>
      </w:pPr>
      <w:r>
        <w:t>General Bill</w:t>
      </w:r>
    </w:p>
    <w:p w:rsidR="00A21323" w:rsidRDefault="00EC7F3F" w:rsidP="00A21323">
      <w:pPr>
        <w:widowControl w:val="0"/>
        <w:jc w:val="left"/>
      </w:pPr>
      <w:r>
        <w:t>Sponsors: Reps. Huggins, Bingham, Quinn, Kennedy, Merrill, Chumley, Burns, V.S. Moss and Clyburn</w:t>
      </w:r>
    </w:p>
    <w:p w:rsidR="00A21323" w:rsidRDefault="00A21323" w:rsidP="00A21323">
      <w:pPr>
        <w:widowControl w:val="0"/>
        <w:jc w:val="left"/>
      </w:pPr>
      <w:r>
        <w:t>Document Path: l:\council\bills\bbm\9389dg16.docx</w:t>
      </w:r>
    </w:p>
    <w:p w:rsidR="00A21323" w:rsidRDefault="00A21323" w:rsidP="00A21323">
      <w:pPr>
        <w:widowControl w:val="0"/>
        <w:jc w:val="left"/>
      </w:pPr>
    </w:p>
    <w:p w:rsidR="008A00A4" w:rsidRDefault="008A00A4" w:rsidP="00A21323">
      <w:pPr>
        <w:widowControl w:val="0"/>
        <w:jc w:val="left"/>
      </w:pPr>
      <w:r>
        <w:t>Introduced in the House on January 12, 2016</w:t>
      </w:r>
    </w:p>
    <w:p w:rsidR="008A00A4" w:rsidRPr="008A00A4" w:rsidRDefault="008A00A4" w:rsidP="00A21323">
      <w:pPr>
        <w:widowControl w:val="0"/>
        <w:jc w:val="left"/>
      </w:pPr>
      <w:r>
        <w:t xml:space="preserve">Currently residing in the House Committee on </w:t>
      </w:r>
      <w:r w:rsidRPr="008A00A4">
        <w:rPr>
          <w:b/>
        </w:rPr>
        <w:t>Ways and Means</w:t>
      </w:r>
    </w:p>
    <w:p w:rsidR="008A00A4" w:rsidRDefault="008A00A4" w:rsidP="00A21323">
      <w:pPr>
        <w:widowControl w:val="0"/>
        <w:jc w:val="left"/>
      </w:pPr>
    </w:p>
    <w:p w:rsidR="00A21323" w:rsidRDefault="00A21323" w:rsidP="00A21323">
      <w:pPr>
        <w:widowControl w:val="0"/>
        <w:jc w:val="left"/>
      </w:pPr>
      <w:r>
        <w:t xml:space="preserve">Summary: </w:t>
      </w:r>
      <w:r w:rsidR="00263E17">
        <w:t>Property tax exemptions</w:t>
      </w:r>
    </w:p>
    <w:p w:rsidR="00A21323" w:rsidRDefault="00A21323" w:rsidP="00A21323">
      <w:pPr>
        <w:widowControl w:val="0"/>
        <w:jc w:val="left"/>
      </w:pPr>
    </w:p>
    <w:p w:rsidR="00A21323" w:rsidRDefault="00A21323" w:rsidP="00A21323">
      <w:pPr>
        <w:widowControl w:val="0"/>
        <w:jc w:val="left"/>
      </w:pPr>
    </w:p>
    <w:p w:rsidR="00A21323" w:rsidRDefault="00A21323" w:rsidP="00A21323">
      <w:pPr>
        <w:widowControl w:val="0"/>
        <w:tabs>
          <w:tab w:val="center" w:pos="590"/>
          <w:tab w:val="center" w:pos="1440"/>
          <w:tab w:val="left" w:pos="1872"/>
          <w:tab w:val="left" w:pos="9187"/>
        </w:tabs>
        <w:jc w:val="left"/>
      </w:pPr>
      <w:r w:rsidRPr="00A21323">
        <w:rPr>
          <w:b/>
        </w:rPr>
        <w:t>HISTORY OF LEGISLATIVE ACTIONS</w:t>
      </w:r>
    </w:p>
    <w:p w:rsidR="00A21323" w:rsidRDefault="00A21323" w:rsidP="00A21323">
      <w:pPr>
        <w:widowControl w:val="0"/>
        <w:tabs>
          <w:tab w:val="center" w:pos="590"/>
          <w:tab w:val="center" w:pos="1440"/>
          <w:tab w:val="left" w:pos="1872"/>
          <w:tab w:val="left" w:pos="9187"/>
        </w:tabs>
        <w:jc w:val="left"/>
      </w:pPr>
    </w:p>
    <w:p w:rsidR="00A21323" w:rsidRPr="00A21323" w:rsidRDefault="00A21323" w:rsidP="00A21323">
      <w:pPr>
        <w:widowControl w:val="0"/>
        <w:tabs>
          <w:tab w:val="center" w:pos="590"/>
          <w:tab w:val="center" w:pos="1440"/>
          <w:tab w:val="left" w:pos="1872"/>
          <w:tab w:val="left" w:pos="9187"/>
        </w:tabs>
        <w:jc w:val="left"/>
      </w:pPr>
      <w:r w:rsidRPr="00A21323">
        <w:rPr>
          <w:u w:val="single"/>
        </w:rPr>
        <w:tab/>
        <w:t>Date</w:t>
      </w:r>
      <w:r w:rsidRPr="00A21323">
        <w:rPr>
          <w:u w:val="single"/>
        </w:rPr>
        <w:tab/>
        <w:t>Body</w:t>
      </w:r>
      <w:r w:rsidRPr="00A21323">
        <w:rPr>
          <w:u w:val="single"/>
        </w:rPr>
        <w:tab/>
        <w:t>Action Description with journal page number</w:t>
      </w:r>
      <w:r w:rsidRPr="00A21323">
        <w:rPr>
          <w:u w:val="single"/>
        </w:rPr>
        <w:tab/>
      </w:r>
    </w:p>
    <w:p w:rsidR="00492773" w:rsidRDefault="00492773" w:rsidP="00492773">
      <w:pPr>
        <w:widowControl w:val="0"/>
        <w:tabs>
          <w:tab w:val="right" w:pos="1008"/>
          <w:tab w:val="left" w:pos="1152"/>
          <w:tab w:val="left" w:pos="1872"/>
          <w:tab w:val="left" w:pos="9187"/>
        </w:tabs>
        <w:ind w:left="2088" w:hanging="2088"/>
        <w:jc w:val="left"/>
      </w:pPr>
      <w:r>
        <w:tab/>
        <w:t>12/3/2015</w:t>
      </w:r>
      <w:r>
        <w:tab/>
        <w:t>House</w:t>
      </w:r>
      <w:r>
        <w:tab/>
      </w:r>
      <w:r w:rsidRPr="00475D04">
        <w:t>Prefiled</w:t>
      </w:r>
    </w:p>
    <w:p w:rsidR="00492773" w:rsidRDefault="00492773" w:rsidP="00492773">
      <w:pPr>
        <w:widowControl w:val="0"/>
        <w:tabs>
          <w:tab w:val="right" w:pos="1008"/>
          <w:tab w:val="left" w:pos="1152"/>
          <w:tab w:val="left" w:pos="1872"/>
          <w:tab w:val="left" w:pos="9187"/>
        </w:tabs>
        <w:ind w:left="2088" w:hanging="2088"/>
        <w:jc w:val="left"/>
      </w:pPr>
      <w:r>
        <w:tab/>
        <w:t>12/3/2015</w:t>
      </w:r>
      <w:r>
        <w:tab/>
        <w:t>House</w:t>
      </w:r>
      <w:r>
        <w:tab/>
      </w:r>
      <w:r w:rsidRPr="00475D04">
        <w:t xml:space="preserve">Referred to Committee on </w:t>
      </w:r>
      <w:r w:rsidRPr="00475D04">
        <w:rPr>
          <w:b/>
        </w:rPr>
        <w:t>Ways and Means</w:t>
      </w:r>
    </w:p>
    <w:p w:rsidR="00492773" w:rsidRDefault="00492773" w:rsidP="00492773">
      <w:pPr>
        <w:widowControl w:val="0"/>
        <w:tabs>
          <w:tab w:val="right" w:pos="1008"/>
          <w:tab w:val="left" w:pos="1152"/>
          <w:tab w:val="left" w:pos="1872"/>
          <w:tab w:val="left" w:pos="9187"/>
        </w:tabs>
        <w:ind w:left="2088" w:hanging="2088"/>
        <w:jc w:val="left"/>
      </w:pPr>
      <w:r>
        <w:tab/>
        <w:t>1/12/2016</w:t>
      </w:r>
      <w:r>
        <w:tab/>
        <w:t>House</w:t>
      </w:r>
      <w:r>
        <w:tab/>
      </w:r>
      <w:r w:rsidRPr="00475D04">
        <w:t>Introduced and read first time (</w:t>
      </w:r>
      <w:hyperlink r:id="rId7" w:history="1">
        <w:r w:rsidRPr="00831DB0">
          <w:rPr>
            <w:rStyle w:val="Hyperlink"/>
          </w:rPr>
          <w:t>House Journal</w:t>
        </w:r>
        <w:r w:rsidRPr="00831DB0">
          <w:rPr>
            <w:rStyle w:val="Hyperlink"/>
          </w:rPr>
          <w:noBreakHyphen/>
          <w:t>page 68</w:t>
        </w:r>
      </w:hyperlink>
      <w:r w:rsidRPr="00475D04">
        <w:t>)</w:t>
      </w:r>
    </w:p>
    <w:p w:rsidR="00492773" w:rsidRDefault="00492773" w:rsidP="00492773">
      <w:pPr>
        <w:widowControl w:val="0"/>
        <w:tabs>
          <w:tab w:val="right" w:pos="1008"/>
          <w:tab w:val="left" w:pos="1152"/>
          <w:tab w:val="left" w:pos="1872"/>
          <w:tab w:val="left" w:pos="9187"/>
        </w:tabs>
        <w:ind w:left="2088" w:hanging="2088"/>
        <w:jc w:val="left"/>
      </w:pPr>
      <w:r>
        <w:tab/>
        <w:t>1/12/2016</w:t>
      </w:r>
      <w:r>
        <w:tab/>
        <w:t>House</w:t>
      </w:r>
      <w:r>
        <w:tab/>
      </w:r>
      <w:r w:rsidRPr="00475D04">
        <w:t>Referred</w:t>
      </w:r>
      <w:r>
        <w:t xml:space="preserve"> to Committee on </w:t>
      </w:r>
      <w:r w:rsidRPr="00475D04">
        <w:rPr>
          <w:b/>
        </w:rPr>
        <w:t>Ways and Means</w:t>
      </w:r>
      <w:r>
        <w:t xml:space="preserve"> </w:t>
      </w:r>
      <w:r w:rsidRPr="00475D04">
        <w:t>(</w:t>
      </w:r>
      <w:hyperlink r:id="rId8" w:history="1">
        <w:r w:rsidRPr="00831DB0">
          <w:rPr>
            <w:rStyle w:val="Hyperlink"/>
          </w:rPr>
          <w:t>House Journal</w:t>
        </w:r>
        <w:r w:rsidRPr="00831DB0">
          <w:rPr>
            <w:rStyle w:val="Hyperlink"/>
          </w:rPr>
          <w:noBreakHyphen/>
          <w:t>page 68</w:t>
        </w:r>
      </w:hyperlink>
      <w:r w:rsidRPr="00475D04">
        <w:t>)</w:t>
      </w:r>
    </w:p>
    <w:p w:rsidR="00492773" w:rsidRDefault="00492773" w:rsidP="00492773">
      <w:pPr>
        <w:widowControl w:val="0"/>
        <w:tabs>
          <w:tab w:val="right" w:pos="1008"/>
          <w:tab w:val="left" w:pos="1152"/>
          <w:tab w:val="left" w:pos="1872"/>
          <w:tab w:val="left" w:pos="9187"/>
        </w:tabs>
        <w:ind w:left="2088" w:hanging="2088"/>
        <w:jc w:val="left"/>
      </w:pPr>
    </w:p>
    <w:p w:rsidR="00A21323" w:rsidRDefault="00A21323" w:rsidP="00A21323">
      <w:pPr>
        <w:widowControl w:val="0"/>
        <w:tabs>
          <w:tab w:val="right" w:pos="1008"/>
          <w:tab w:val="left" w:pos="1152"/>
          <w:tab w:val="left" w:pos="1872"/>
          <w:tab w:val="left" w:pos="9187"/>
        </w:tabs>
        <w:ind w:left="2088" w:hanging="2088"/>
        <w:jc w:val="left"/>
      </w:pPr>
      <w:r>
        <w:t xml:space="preserve">View the latest </w:t>
      </w:r>
      <w:hyperlink r:id="rId9" w:history="1">
        <w:r w:rsidRPr="00A21323">
          <w:rPr>
            <w:rStyle w:val="Hyperlink"/>
          </w:rPr>
          <w:t>legislative information</w:t>
        </w:r>
      </w:hyperlink>
      <w:r>
        <w:t xml:space="preserve"> at the website</w:t>
      </w:r>
    </w:p>
    <w:p w:rsidR="00A21323" w:rsidRDefault="00A21323" w:rsidP="00A21323">
      <w:pPr>
        <w:widowControl w:val="0"/>
        <w:tabs>
          <w:tab w:val="right" w:pos="1008"/>
          <w:tab w:val="left" w:pos="1152"/>
          <w:tab w:val="left" w:pos="1872"/>
          <w:tab w:val="left" w:pos="9187"/>
        </w:tabs>
        <w:ind w:left="2088" w:hanging="2088"/>
        <w:jc w:val="left"/>
      </w:pPr>
    </w:p>
    <w:p w:rsidR="00A21323" w:rsidRPr="00A21323" w:rsidRDefault="00A21323" w:rsidP="00A21323">
      <w:pPr>
        <w:widowControl w:val="0"/>
        <w:tabs>
          <w:tab w:val="right" w:pos="1008"/>
          <w:tab w:val="left" w:pos="1152"/>
          <w:tab w:val="left" w:pos="1872"/>
          <w:tab w:val="left" w:pos="9187"/>
        </w:tabs>
        <w:ind w:left="2088" w:hanging="2088"/>
        <w:jc w:val="left"/>
      </w:pPr>
    </w:p>
    <w:p w:rsidR="00A21323" w:rsidRDefault="00A21323" w:rsidP="00A21323">
      <w:pPr>
        <w:widowControl w:val="0"/>
        <w:jc w:val="left"/>
      </w:pPr>
      <w:r w:rsidRPr="00A21323">
        <w:rPr>
          <w:b/>
        </w:rPr>
        <w:t>VERSIONS OF THIS BILL</w:t>
      </w:r>
    </w:p>
    <w:p w:rsidR="00A21323" w:rsidRDefault="00A21323" w:rsidP="00A21323">
      <w:pPr>
        <w:widowControl w:val="0"/>
        <w:jc w:val="left"/>
      </w:pPr>
    </w:p>
    <w:p w:rsidR="00A21323" w:rsidRDefault="00831DB0" w:rsidP="00A21323">
      <w:pPr>
        <w:widowControl w:val="0"/>
        <w:jc w:val="left"/>
      </w:pPr>
      <w:hyperlink r:id="rId10" w:history="1">
        <w:r w:rsidR="00A21323">
          <w:rPr>
            <w:rStyle w:val="Hyperlink"/>
          </w:rPr>
          <w:t>12/3/2015</w:t>
        </w:r>
      </w:hyperlink>
    </w:p>
    <w:p w:rsidR="00A21323" w:rsidRDefault="00A21323" w:rsidP="00A21323"/>
    <w:p w:rsidR="00A21323" w:rsidRDefault="00A21323" w:rsidP="00A21323">
      <w:pPr>
        <w:sectPr w:rsidR="00A21323" w:rsidSect="00A21323">
          <w:pgSz w:w="12240" w:h="15840" w:code="1"/>
          <w:pgMar w:top="1080" w:right="1440" w:bottom="1080" w:left="1440" w:header="720" w:footer="720" w:gutter="0"/>
          <w:cols w:space="720"/>
          <w:noEndnote/>
          <w:docGrid w:linePitch="360"/>
        </w:sectPr>
      </w:pPr>
    </w:p>
    <w:p w:rsidR="00784832" w:rsidRDefault="00784832"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40F" w:rsidRDefault="0096540F" w:rsidP="0096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8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AMEND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220, AS AMENDED, CODE OF LAWS OF SOUTH CAROLINA, 1976, RELATING TO PROPERTY TAX EXEMPTIONS, SO AS TO PROVIDE AN EXEMPTION SUFFICIENT TO KEEP THE PROPERTY TAX VALUE OF A HOMESTEAD FROM INCREASING ONCE THE OWNER ATTAINS THE AGE OF SEVENTY YEARS, TO PROVIDE AN ADDITIONAL TWENTY</w:t>
      </w:r>
      <w:r w:rsidR="00901A60">
        <w:rPr>
          <w:color w:val="000000" w:themeColor="text1"/>
        </w:rPr>
        <w:noBreakHyphen/>
      </w:r>
      <w:r>
        <w:rPr>
          <w:color w:val="000000" w:themeColor="text1"/>
        </w:rPr>
        <w:t>FIVE PERCENT EXEMPTION WHEN A PERSON ATTAINS THE AGE OF SEVENTY</w:t>
      </w:r>
      <w:r w:rsidR="00901A60">
        <w:rPr>
          <w:color w:val="000000" w:themeColor="text1"/>
        </w:rPr>
        <w:noBreakHyphen/>
      </w:r>
      <w:r>
        <w:rPr>
          <w:color w:val="000000" w:themeColor="text1"/>
        </w:rPr>
        <w:t>FIVE YEARS AND TO INCREASE THE EXEMPTION BY AN ADDITIONAL TWENTY</w:t>
      </w:r>
      <w:r w:rsidR="00901A60">
        <w:rPr>
          <w:color w:val="000000" w:themeColor="text1"/>
        </w:rPr>
        <w:noBreakHyphen/>
      </w:r>
      <w:r>
        <w:rPr>
          <w:color w:val="000000" w:themeColor="text1"/>
        </w:rPr>
        <w:t>FIVE PERCENT EVERY FIVE YEARS THEREAFTER, AND TO SPECIFY THE APPLICABILITY OF THE EXEMPTION; AND BY ADDING SECTION 12</w:t>
      </w:r>
      <w:r w:rsidR="00901A60">
        <w:rPr>
          <w:color w:val="000000" w:themeColor="text1"/>
        </w:rPr>
        <w:noBreakHyphen/>
      </w:r>
      <w:r>
        <w:rPr>
          <w:color w:val="000000" w:themeColor="text1"/>
        </w:rPr>
        <w:t>45</w:t>
      </w:r>
      <w:r w:rsidR="00901A60">
        <w:rPr>
          <w:color w:val="000000" w:themeColor="text1"/>
        </w:rPr>
        <w:noBreakHyphen/>
      </w:r>
      <w:r>
        <w:rPr>
          <w:color w:val="000000" w:themeColor="text1"/>
        </w:rPr>
        <w:t>82 SO AS TO PROHIBIT A TAX EXECUTION ON THE HOMESTEAD OF AN INDIVIDUAL THAT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86B" w:rsidRDefault="00FA28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86B" w:rsidRDefault="00FA28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1B1" w:rsidRDefault="00FA286B"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0431B1">
        <w:rPr>
          <w:color w:val="000000" w:themeColor="text1"/>
        </w:rPr>
        <w:t>Section 12</w:t>
      </w:r>
      <w:r w:rsidR="00901A60">
        <w:rPr>
          <w:color w:val="000000" w:themeColor="text1"/>
        </w:rPr>
        <w:noBreakHyphen/>
      </w:r>
      <w:r w:rsidR="000431B1">
        <w:rPr>
          <w:color w:val="000000" w:themeColor="text1"/>
        </w:rPr>
        <w:t>37</w:t>
      </w:r>
      <w:r w:rsidR="00901A60">
        <w:rPr>
          <w:color w:val="000000" w:themeColor="text1"/>
        </w:rPr>
        <w:noBreakHyphen/>
      </w:r>
      <w:r w:rsidR="000431B1">
        <w:rPr>
          <w:color w:val="000000" w:themeColor="text1"/>
        </w:rPr>
        <w:t>220(B) of the 1976 Code, as last amended by Act 23 of 2015, is further amended by adding a new item at the end appropriately numbered to read:</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)(a)</w:t>
      </w:r>
      <w:r>
        <w:rPr>
          <w:color w:val="000000" w:themeColor="text1"/>
        </w:rPr>
        <w:tab/>
        <w:t>Beginning for the property tax year in which an individual receiving the homestead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attains the age of seventy years, there is exempt an amount of fair market value sufficient to keep the property tax value of the homestead, as such value is defined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 xml:space="preserve">3135(A)(5), from increasing.  If an individual acquires a homestead for which the individual qualifies for the homestead exemption after the individual attains the age of seventy years, then the property tax value to which this subitem applies is the property </w:t>
      </w:r>
      <w:r>
        <w:rPr>
          <w:color w:val="000000" w:themeColor="text1"/>
        </w:rPr>
        <w:lastRenderedPageBreak/>
        <w:t>tax value on December thirty</w:t>
      </w:r>
      <w:r w:rsidR="00901A60">
        <w:rPr>
          <w:color w:val="000000" w:themeColor="text1"/>
        </w:rPr>
        <w:noBreakHyphen/>
      </w:r>
      <w:r>
        <w:rPr>
          <w:color w:val="000000" w:themeColor="text1"/>
        </w:rPr>
        <w:t>first of the year in which the homestead is acquired.</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twenty</w:t>
      </w:r>
      <w:r w:rsidR="00901A60">
        <w:rPr>
          <w:color w:val="000000" w:themeColor="text1"/>
        </w:rPr>
        <w:noBreakHyphen/>
      </w:r>
      <w:r>
        <w:rPr>
          <w:color w:val="000000" w:themeColor="text1"/>
        </w:rPr>
        <w:t>five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seventy</w:t>
      </w:r>
      <w:r w:rsidR="00901A60">
        <w:rPr>
          <w:color w:val="000000" w:themeColor="text1"/>
        </w:rPr>
        <w:noBreakHyphen/>
      </w:r>
      <w:r>
        <w:rPr>
          <w:color w:val="000000" w:themeColor="text1"/>
        </w:rPr>
        <w:t>five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fifty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eighty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seventy</w:t>
      </w:r>
      <w:r w:rsidR="00901A60">
        <w:rPr>
          <w:color w:val="000000" w:themeColor="text1"/>
        </w:rPr>
        <w:noBreakHyphen/>
      </w:r>
      <w:r>
        <w:rPr>
          <w:color w:val="000000" w:themeColor="text1"/>
        </w:rPr>
        <w:t>five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eighty</w:t>
      </w:r>
      <w:r w:rsidR="00901A60">
        <w:rPr>
          <w:color w:val="000000" w:themeColor="text1"/>
        </w:rPr>
        <w:noBreakHyphen/>
      </w:r>
      <w:r>
        <w:rPr>
          <w:color w:val="000000" w:themeColor="text1"/>
        </w:rPr>
        <w:t>five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Effective for property tax years beginning after 2015 and to the extent not already exempt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and this section, one hundred percent of any remaining fair market value of an owner</w:t>
      </w:r>
      <w:r w:rsidR="00901A60">
        <w:rPr>
          <w:color w:val="000000" w:themeColor="text1"/>
        </w:rPr>
        <w:noBreakHyphen/>
      </w:r>
      <w:r>
        <w:rPr>
          <w:color w:val="000000" w:themeColor="text1"/>
        </w:rPr>
        <w:t>occupied residential property subject to tax receiving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in the year in which the person attains the age of ninety years.</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(f)</w:t>
      </w:r>
      <w:r>
        <w:rPr>
          <w:color w:val="000000" w:themeColor="text1"/>
        </w:rPr>
        <w:tab/>
        <w:t>The additional exemptions allowed by this item continue to apply for a surviving spouse in the same manner that the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 continues to apply.”</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45, Title 12 of the 1976 Code is amended by adding:</w:t>
      </w:r>
    </w:p>
    <w:p w:rsidR="000431B1"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86B" w:rsidRDefault="000431B1" w:rsidP="0004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12</w:t>
      </w:r>
      <w:r w:rsidR="00901A60">
        <w:rPr>
          <w:color w:val="000000" w:themeColor="text1"/>
        </w:rPr>
        <w:noBreakHyphen/>
      </w:r>
      <w:r>
        <w:rPr>
          <w:color w:val="000000" w:themeColor="text1"/>
        </w:rPr>
        <w:t>45</w:t>
      </w:r>
      <w:r w:rsidR="00901A60">
        <w:rPr>
          <w:color w:val="000000" w:themeColor="text1"/>
        </w:rPr>
        <w:noBreakHyphen/>
      </w:r>
      <w:r>
        <w:rPr>
          <w:color w:val="000000" w:themeColor="text1"/>
        </w:rPr>
        <w:t>82.</w:t>
      </w:r>
      <w:r>
        <w:rPr>
          <w:color w:val="000000" w:themeColor="text1"/>
        </w:rPr>
        <w:tab/>
        <w:t>Notwithstanding any other provision of law, a tax execution may not be issued on the homestead of an individual receiving the homestead exemption allowed pursuant to Section 12</w:t>
      </w:r>
      <w:r w:rsidR="00901A60">
        <w:rPr>
          <w:color w:val="000000" w:themeColor="text1"/>
        </w:rPr>
        <w:noBreakHyphen/>
      </w:r>
      <w:r>
        <w:rPr>
          <w:color w:val="000000" w:themeColor="text1"/>
        </w:rPr>
        <w:t>37</w:t>
      </w:r>
      <w:r w:rsidR="00901A60">
        <w:rPr>
          <w:color w:val="000000" w:themeColor="text1"/>
        </w:rPr>
        <w:noBreakHyphen/>
      </w:r>
      <w:r>
        <w:rPr>
          <w:color w:val="000000" w:themeColor="text1"/>
        </w:rPr>
        <w:t>250</w:t>
      </w:r>
      <w:r w:rsidR="00C71184">
        <w:rPr>
          <w:color w:val="000000" w:themeColor="text1"/>
        </w:rPr>
        <w:t>,</w:t>
      </w:r>
      <w:r>
        <w:rPr>
          <w:color w:val="000000" w:themeColor="text1"/>
        </w:rPr>
        <w:t xml:space="preserve"> if the person has attained the age of eighty years.  This provision applies so long as the person continues to occupy the homestead.”</w:t>
      </w:r>
    </w:p>
    <w:p w:rsidR="00FA286B" w:rsidRDefault="00FA28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86B" w:rsidRDefault="00FA286B" w:rsidP="00901A6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31B1">
        <w:t>3</w:t>
      </w:r>
      <w:r>
        <w:t>.</w:t>
      </w:r>
      <w:r>
        <w:tab/>
      </w:r>
      <w:r w:rsidR="000431B1">
        <w:rPr>
          <w:color w:val="000000" w:themeColor="text1"/>
        </w:rPr>
        <w:t>This act takes effect upon approval by the Governor and applies for property tax years beginning after 2015</w:t>
      </w:r>
      <w:r w:rsidR="000431B1">
        <w:t>.</w:t>
      </w:r>
    </w:p>
    <w:p w:rsidR="002423EF" w:rsidRDefault="00901A60" w:rsidP="003826C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323" w:rsidRDefault="00A21323" w:rsidP="00A21323">
      <w:pPr>
        <w:keepNext/>
        <w:suppressAutoHyphens/>
      </w:pPr>
    </w:p>
    <w:sectPr w:rsidR="00A21323" w:rsidSect="00A213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86B" w:rsidRDefault="00FA286B" w:rsidP="009F0C77">
      <w:r>
        <w:separator/>
      </w:r>
    </w:p>
  </w:endnote>
  <w:endnote w:type="continuationSeparator" w:id="0">
    <w:p w:rsidR="00FA286B" w:rsidRDefault="00FA28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D0E77B-3A21-4C3A-893C-E2B3A661370C}"/>
    <w:embedBold r:id="rId2" w:fontKey="{26076F14-9882-4077-B372-EA5471F42352}"/>
  </w:font>
  <w:font w:name="Calibri">
    <w:panose1 w:val="020F0502020204030204"/>
    <w:charset w:val="00"/>
    <w:family w:val="swiss"/>
    <w:pitch w:val="variable"/>
    <w:sig w:usb0="E00002FF" w:usb1="4000ACFF" w:usb2="00000001" w:usb3="00000000" w:csb0="0000019F" w:csb1="00000000"/>
    <w:embedRegular r:id="rId3" w:fontKey="{24441A25-0899-4923-A7EE-8B62471E089F}"/>
  </w:font>
  <w:font w:name="Segoe UI">
    <w:panose1 w:val="020B0502040204020203"/>
    <w:charset w:val="00"/>
    <w:family w:val="swiss"/>
    <w:pitch w:val="variable"/>
    <w:sig w:usb0="E10022FF" w:usb1="C000E47F" w:usb2="00000029" w:usb3="00000000" w:csb0="000001DF" w:csb1="00000000"/>
    <w:embedRegular r:id="rId4" w:fontKey="{09923457-E2D3-4EBE-94A3-90F857F93CCD}"/>
  </w:font>
  <w:font w:name="Cambria">
    <w:panose1 w:val="02040503050406030204"/>
    <w:charset w:val="00"/>
    <w:family w:val="roman"/>
    <w:pitch w:val="variable"/>
    <w:sig w:usb0="E00002FF" w:usb1="400004FF" w:usb2="00000000" w:usb3="00000000" w:csb0="0000019F" w:csb1="00000000"/>
    <w:embedRegular r:id="rId5" w:fontKey="{4687AEE8-C0E0-4B0C-945B-69A75AE53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323" w:rsidRPr="00784832" w:rsidRDefault="00A21323" w:rsidP="00784832">
    <w:pPr>
      <w:pStyle w:val="Footer"/>
      <w:tabs>
        <w:tab w:val="clear" w:pos="4680"/>
        <w:tab w:val="clear" w:pos="9360"/>
        <w:tab w:val="center" w:pos="2995"/>
      </w:tabs>
      <w:spacing w:before="120"/>
    </w:pPr>
    <w:r>
      <w:t>[4450]</w:t>
    </w:r>
    <w:r>
      <w:tab/>
    </w:r>
    <w:r>
      <w:fldChar w:fldCharType="begin"/>
    </w:r>
    <w:r>
      <w:instrText xml:space="preserve"> PAGE  \* MERGEFORMAT </w:instrText>
    </w:r>
    <w:r>
      <w:fldChar w:fldCharType="separate"/>
    </w:r>
    <w:r w:rsidR="00831D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86B" w:rsidRDefault="00FA286B" w:rsidP="009F0C77">
      <w:r>
        <w:separator/>
      </w:r>
    </w:p>
  </w:footnote>
  <w:footnote w:type="continuationSeparator" w:id="0">
    <w:p w:rsidR="00FA286B" w:rsidRDefault="00FA28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9DG16"/>
    <w:docVar w:name="CoverBillType" w:val="b"/>
    <w:docVar w:name="docpath" w:val="L:\Council\bills\BBM\9389DG16.DOCX"/>
    <w:docVar w:name="dvBillNumber" w:val="4450"/>
    <w:docVar w:name="dvBillNumberPrefix" w:val="H. "/>
    <w:docVar w:name="dvOriginalBody" w:val="House"/>
    <w:docVar w:name="dvSteno" w:val="BBM"/>
    <w:docVar w:name="NameofBody" w:val="h"/>
    <w:docVar w:name="vgroup2" w:val="Council"/>
  </w:docVars>
  <w:rsids>
    <w:rsidRoot w:val="00FA286B"/>
    <w:rsid w:val="00011869"/>
    <w:rsid w:val="00015CD6"/>
    <w:rsid w:val="000431B1"/>
    <w:rsid w:val="000E1785"/>
    <w:rsid w:val="000F40FA"/>
    <w:rsid w:val="0010776B"/>
    <w:rsid w:val="00133E66"/>
    <w:rsid w:val="001435A3"/>
    <w:rsid w:val="00146ED3"/>
    <w:rsid w:val="00151044"/>
    <w:rsid w:val="001D08F2"/>
    <w:rsid w:val="001D525B"/>
    <w:rsid w:val="001D7F4F"/>
    <w:rsid w:val="00205238"/>
    <w:rsid w:val="00226DA7"/>
    <w:rsid w:val="002321B6"/>
    <w:rsid w:val="002423EF"/>
    <w:rsid w:val="00250967"/>
    <w:rsid w:val="002543C8"/>
    <w:rsid w:val="00254AC0"/>
    <w:rsid w:val="0025541D"/>
    <w:rsid w:val="00263E17"/>
    <w:rsid w:val="00284AAE"/>
    <w:rsid w:val="002D64B7"/>
    <w:rsid w:val="002E5912"/>
    <w:rsid w:val="00301B21"/>
    <w:rsid w:val="00325348"/>
    <w:rsid w:val="0032732C"/>
    <w:rsid w:val="00336AD0"/>
    <w:rsid w:val="0037079A"/>
    <w:rsid w:val="003826CC"/>
    <w:rsid w:val="003C4DAB"/>
    <w:rsid w:val="003D01E8"/>
    <w:rsid w:val="003E5288"/>
    <w:rsid w:val="003F6D79"/>
    <w:rsid w:val="0041760A"/>
    <w:rsid w:val="00417C01"/>
    <w:rsid w:val="004403BD"/>
    <w:rsid w:val="00461441"/>
    <w:rsid w:val="004809EE"/>
    <w:rsid w:val="00492773"/>
    <w:rsid w:val="004E453A"/>
    <w:rsid w:val="004E7D54"/>
    <w:rsid w:val="00505A22"/>
    <w:rsid w:val="005273C6"/>
    <w:rsid w:val="00530A69"/>
    <w:rsid w:val="00545593"/>
    <w:rsid w:val="00577C6C"/>
    <w:rsid w:val="005C2FE2"/>
    <w:rsid w:val="005E2BC9"/>
    <w:rsid w:val="00605102"/>
    <w:rsid w:val="006215AA"/>
    <w:rsid w:val="006913C9"/>
    <w:rsid w:val="0069470D"/>
    <w:rsid w:val="00734F00"/>
    <w:rsid w:val="00784832"/>
    <w:rsid w:val="007A70AE"/>
    <w:rsid w:val="007F4408"/>
    <w:rsid w:val="00831DB0"/>
    <w:rsid w:val="008362E8"/>
    <w:rsid w:val="008A00A4"/>
    <w:rsid w:val="008A1768"/>
    <w:rsid w:val="008F0F33"/>
    <w:rsid w:val="008F4429"/>
    <w:rsid w:val="00901A60"/>
    <w:rsid w:val="0094021A"/>
    <w:rsid w:val="0096540F"/>
    <w:rsid w:val="009B44AF"/>
    <w:rsid w:val="009C6A0B"/>
    <w:rsid w:val="009F0C77"/>
    <w:rsid w:val="009F4DD1"/>
    <w:rsid w:val="00A21323"/>
    <w:rsid w:val="00A41684"/>
    <w:rsid w:val="00A64E80"/>
    <w:rsid w:val="00A72BCD"/>
    <w:rsid w:val="00A741D9"/>
    <w:rsid w:val="00A833AB"/>
    <w:rsid w:val="00A8442F"/>
    <w:rsid w:val="00A9741D"/>
    <w:rsid w:val="00AD4B17"/>
    <w:rsid w:val="00B412D4"/>
    <w:rsid w:val="00B46557"/>
    <w:rsid w:val="00BE3C22"/>
    <w:rsid w:val="00C0345E"/>
    <w:rsid w:val="00C3483A"/>
    <w:rsid w:val="00C71184"/>
    <w:rsid w:val="00C74E9D"/>
    <w:rsid w:val="00C82FD3"/>
    <w:rsid w:val="00C92819"/>
    <w:rsid w:val="00CB0A8A"/>
    <w:rsid w:val="00CC6B7B"/>
    <w:rsid w:val="00CD2089"/>
    <w:rsid w:val="00D35F53"/>
    <w:rsid w:val="00D73A67"/>
    <w:rsid w:val="00D776C6"/>
    <w:rsid w:val="00D970A9"/>
    <w:rsid w:val="00DE7D6D"/>
    <w:rsid w:val="00DF3845"/>
    <w:rsid w:val="00E41911"/>
    <w:rsid w:val="00E92EEF"/>
    <w:rsid w:val="00EC7F3F"/>
    <w:rsid w:val="00EF2368"/>
    <w:rsid w:val="00F1498D"/>
    <w:rsid w:val="00F24442"/>
    <w:rsid w:val="00F374F3"/>
    <w:rsid w:val="00F50AE3"/>
    <w:rsid w:val="00F656BA"/>
    <w:rsid w:val="00F67CF1"/>
    <w:rsid w:val="00F840F0"/>
    <w:rsid w:val="00FA286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8836D-24AE-4188-B497-8106568F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1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A60"/>
    <w:rPr>
      <w:rFonts w:ascii="Segoe UI" w:eastAsia="Times New Roman" w:hAnsi="Segoe UI" w:cs="Segoe UI"/>
      <w:sz w:val="18"/>
      <w:szCs w:val="18"/>
    </w:rPr>
  </w:style>
  <w:style w:type="character" w:styleId="Hyperlink">
    <w:name w:val="Hyperlink"/>
    <w:basedOn w:val="DefaultParagraphFont"/>
    <w:uiPriority w:val="99"/>
    <w:unhideWhenUsed/>
    <w:rsid w:val="00A213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756262">
      <w:bodyDiv w:val="1"/>
      <w:marLeft w:val="0"/>
      <w:marRight w:val="0"/>
      <w:marTop w:val="0"/>
      <w:marBottom w:val="0"/>
      <w:divBdr>
        <w:top w:val="none" w:sz="0" w:space="0" w:color="auto"/>
        <w:left w:val="none" w:sz="0" w:space="0" w:color="auto"/>
        <w:bottom w:val="none" w:sz="0" w:space="0" w:color="auto"/>
        <w:right w:val="none" w:sz="0" w:space="0" w:color="auto"/>
      </w:divBdr>
    </w:div>
    <w:div w:id="180573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5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70BF2-4EF9-48DE-B880-A30EF611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738</Words>
  <Characters>4212</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4450: Property tax exemptions - South Carolina Legislature Online</dc:title>
  <dc:creator>davidgood</dc:creator>
  <cp:lastModifiedBy>N Cumfer</cp:lastModifiedBy>
  <cp:revision>2</cp:revision>
  <cp:lastPrinted>2015-11-30T21:05:00Z</cp:lastPrinted>
  <dcterms:created xsi:type="dcterms:W3CDTF">2016-12-02T19:09:00Z</dcterms:created>
  <dcterms:modified xsi:type="dcterms:W3CDTF">2016-12-02T19:09:00Z</dcterms:modified>
</cp:coreProperties>
</file>