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4C7" w:rsidRDefault="005844C7" w:rsidP="005844C7">
      <w:pPr>
        <w:widowControl w:val="0"/>
        <w:jc w:val="center"/>
      </w:pPr>
      <w:bookmarkStart w:id="0" w:name="_GoBack"/>
      <w:bookmarkEnd w:id="0"/>
      <w:r w:rsidRPr="005844C7">
        <w:rPr>
          <w:b/>
        </w:rPr>
        <w:t>South Carolina General Assembly</w:t>
      </w:r>
    </w:p>
    <w:p w:rsidR="005844C7" w:rsidRDefault="005844C7" w:rsidP="005844C7">
      <w:pPr>
        <w:widowControl w:val="0"/>
        <w:jc w:val="center"/>
      </w:pPr>
      <w:r>
        <w:t>121st Session, 2015-2016</w:t>
      </w:r>
    </w:p>
    <w:p w:rsidR="005844C7" w:rsidRDefault="005844C7" w:rsidP="005844C7">
      <w:pPr>
        <w:widowControl w:val="0"/>
        <w:jc w:val="left"/>
      </w:pPr>
    </w:p>
    <w:p w:rsidR="005844C7" w:rsidRDefault="005844C7" w:rsidP="005844C7">
      <w:pPr>
        <w:widowControl w:val="0"/>
        <w:jc w:val="left"/>
        <w:rPr>
          <w:b/>
        </w:rPr>
      </w:pPr>
      <w:r w:rsidRPr="005844C7">
        <w:rPr>
          <w:b/>
        </w:rPr>
        <w:t>H. 4502</w:t>
      </w:r>
    </w:p>
    <w:p w:rsidR="005844C7" w:rsidRDefault="005844C7" w:rsidP="005844C7">
      <w:pPr>
        <w:widowControl w:val="0"/>
        <w:jc w:val="left"/>
        <w:rPr>
          <w:b/>
        </w:rPr>
      </w:pPr>
    </w:p>
    <w:p w:rsidR="005844C7" w:rsidRDefault="005844C7" w:rsidP="005844C7">
      <w:pPr>
        <w:widowControl w:val="0"/>
        <w:jc w:val="left"/>
      </w:pPr>
      <w:r w:rsidRPr="005844C7">
        <w:rPr>
          <w:b/>
        </w:rPr>
        <w:t>STATUS INFORMATION</w:t>
      </w:r>
    </w:p>
    <w:p w:rsidR="005844C7" w:rsidRDefault="005844C7" w:rsidP="005844C7">
      <w:pPr>
        <w:widowControl w:val="0"/>
        <w:jc w:val="left"/>
      </w:pPr>
    </w:p>
    <w:p w:rsidR="005844C7" w:rsidRDefault="005844C7" w:rsidP="005844C7">
      <w:pPr>
        <w:widowControl w:val="0"/>
        <w:jc w:val="left"/>
      </w:pPr>
      <w:r>
        <w:t>General Bill</w:t>
      </w:r>
    </w:p>
    <w:p w:rsidR="005844C7" w:rsidRDefault="005844C7" w:rsidP="005844C7">
      <w:pPr>
        <w:widowControl w:val="0"/>
        <w:jc w:val="left"/>
      </w:pPr>
      <w:r>
        <w:t>Sponsors: Rep. G.R. Smith</w:t>
      </w:r>
    </w:p>
    <w:p w:rsidR="005844C7" w:rsidRDefault="005844C7" w:rsidP="005844C7">
      <w:pPr>
        <w:widowControl w:val="0"/>
        <w:jc w:val="left"/>
      </w:pPr>
      <w:r>
        <w:t>Document Path: l:\council\bills\dka\3129sa16.docx</w:t>
      </w:r>
    </w:p>
    <w:p w:rsidR="005844C7" w:rsidRDefault="005844C7" w:rsidP="005844C7">
      <w:pPr>
        <w:widowControl w:val="0"/>
        <w:jc w:val="left"/>
      </w:pPr>
    </w:p>
    <w:p w:rsidR="000A1B43" w:rsidRDefault="000A1B43" w:rsidP="005844C7">
      <w:pPr>
        <w:widowControl w:val="0"/>
        <w:jc w:val="left"/>
      </w:pPr>
      <w:r>
        <w:t>Introduced in the House on January 12, 2016</w:t>
      </w:r>
    </w:p>
    <w:p w:rsidR="000A1B43" w:rsidRPr="000A1B43" w:rsidRDefault="000A1B43" w:rsidP="005844C7">
      <w:pPr>
        <w:widowControl w:val="0"/>
        <w:jc w:val="left"/>
      </w:pPr>
      <w:r>
        <w:t xml:space="preserve">Currently residing in the House Committee on </w:t>
      </w:r>
      <w:r w:rsidRPr="000A1B43">
        <w:rPr>
          <w:b/>
        </w:rPr>
        <w:t>Ways and Means</w:t>
      </w:r>
    </w:p>
    <w:p w:rsidR="000A1B43" w:rsidRDefault="000A1B43" w:rsidP="005844C7">
      <w:pPr>
        <w:widowControl w:val="0"/>
        <w:jc w:val="left"/>
      </w:pPr>
    </w:p>
    <w:p w:rsidR="005844C7" w:rsidRDefault="005844C7" w:rsidP="005844C7">
      <w:pPr>
        <w:widowControl w:val="0"/>
        <w:jc w:val="left"/>
      </w:pPr>
      <w:r>
        <w:t xml:space="preserve">Summary: </w:t>
      </w:r>
      <w:r w:rsidR="001E4AE4">
        <w:t>Revenue impact statements</w:t>
      </w:r>
    </w:p>
    <w:p w:rsidR="005844C7" w:rsidRDefault="005844C7" w:rsidP="005844C7">
      <w:pPr>
        <w:widowControl w:val="0"/>
        <w:jc w:val="left"/>
      </w:pPr>
    </w:p>
    <w:p w:rsidR="005844C7" w:rsidRDefault="005844C7" w:rsidP="005844C7">
      <w:pPr>
        <w:widowControl w:val="0"/>
        <w:jc w:val="left"/>
      </w:pPr>
    </w:p>
    <w:p w:rsidR="005844C7" w:rsidRDefault="005844C7" w:rsidP="005844C7">
      <w:pPr>
        <w:widowControl w:val="0"/>
        <w:tabs>
          <w:tab w:val="center" w:pos="590"/>
          <w:tab w:val="center" w:pos="1440"/>
          <w:tab w:val="left" w:pos="1872"/>
          <w:tab w:val="left" w:pos="9187"/>
        </w:tabs>
        <w:jc w:val="left"/>
      </w:pPr>
      <w:r w:rsidRPr="005844C7">
        <w:rPr>
          <w:b/>
        </w:rPr>
        <w:t>HISTORY OF LEGISLATIVE ACTIONS</w:t>
      </w:r>
    </w:p>
    <w:p w:rsidR="005844C7" w:rsidRDefault="005844C7" w:rsidP="005844C7">
      <w:pPr>
        <w:widowControl w:val="0"/>
        <w:tabs>
          <w:tab w:val="center" w:pos="590"/>
          <w:tab w:val="center" w:pos="1440"/>
          <w:tab w:val="left" w:pos="1872"/>
          <w:tab w:val="left" w:pos="9187"/>
        </w:tabs>
        <w:jc w:val="left"/>
      </w:pPr>
    </w:p>
    <w:p w:rsidR="005844C7" w:rsidRPr="005844C7" w:rsidRDefault="005844C7" w:rsidP="005844C7">
      <w:pPr>
        <w:widowControl w:val="0"/>
        <w:tabs>
          <w:tab w:val="center" w:pos="590"/>
          <w:tab w:val="center" w:pos="1440"/>
          <w:tab w:val="left" w:pos="1872"/>
          <w:tab w:val="left" w:pos="9187"/>
        </w:tabs>
        <w:jc w:val="left"/>
      </w:pPr>
      <w:r w:rsidRPr="005844C7">
        <w:rPr>
          <w:u w:val="single"/>
        </w:rPr>
        <w:tab/>
        <w:t>Date</w:t>
      </w:r>
      <w:r w:rsidRPr="005844C7">
        <w:rPr>
          <w:u w:val="single"/>
        </w:rPr>
        <w:tab/>
        <w:t>Body</w:t>
      </w:r>
      <w:r w:rsidRPr="005844C7">
        <w:rPr>
          <w:u w:val="single"/>
        </w:rPr>
        <w:tab/>
        <w:t>Action Description with journal page number</w:t>
      </w:r>
      <w:r w:rsidRPr="005844C7">
        <w:rPr>
          <w:u w:val="single"/>
        </w:rPr>
        <w:tab/>
      </w:r>
    </w:p>
    <w:p w:rsidR="00F00D06" w:rsidRDefault="00F00D06" w:rsidP="00F00D06">
      <w:pPr>
        <w:widowControl w:val="0"/>
        <w:tabs>
          <w:tab w:val="right" w:pos="1008"/>
          <w:tab w:val="left" w:pos="1152"/>
          <w:tab w:val="left" w:pos="1872"/>
          <w:tab w:val="left" w:pos="9187"/>
        </w:tabs>
        <w:ind w:left="2088" w:hanging="2088"/>
        <w:jc w:val="left"/>
      </w:pPr>
      <w:r>
        <w:tab/>
        <w:t>12/3/2015</w:t>
      </w:r>
      <w:r>
        <w:tab/>
        <w:t>House</w:t>
      </w:r>
      <w:r>
        <w:tab/>
      </w:r>
      <w:r w:rsidRPr="009D4F88">
        <w:t>Prefiled</w:t>
      </w:r>
    </w:p>
    <w:p w:rsidR="00F00D06" w:rsidRDefault="00F00D06" w:rsidP="00F00D06">
      <w:pPr>
        <w:widowControl w:val="0"/>
        <w:tabs>
          <w:tab w:val="right" w:pos="1008"/>
          <w:tab w:val="left" w:pos="1152"/>
          <w:tab w:val="left" w:pos="1872"/>
          <w:tab w:val="left" w:pos="9187"/>
        </w:tabs>
        <w:ind w:left="2088" w:hanging="2088"/>
        <w:jc w:val="left"/>
      </w:pPr>
      <w:r>
        <w:tab/>
        <w:t>12/3/2015</w:t>
      </w:r>
      <w:r>
        <w:tab/>
        <w:t>House</w:t>
      </w:r>
      <w:r>
        <w:tab/>
      </w:r>
      <w:r w:rsidRPr="009D4F88">
        <w:t xml:space="preserve">Referred to Committee on </w:t>
      </w:r>
      <w:r w:rsidRPr="009D4F88">
        <w:rPr>
          <w:b/>
        </w:rPr>
        <w:t>Ways and Means</w:t>
      </w:r>
    </w:p>
    <w:p w:rsidR="00F00D06" w:rsidRDefault="00F00D06" w:rsidP="00F00D06">
      <w:pPr>
        <w:widowControl w:val="0"/>
        <w:tabs>
          <w:tab w:val="right" w:pos="1008"/>
          <w:tab w:val="left" w:pos="1152"/>
          <w:tab w:val="left" w:pos="1872"/>
          <w:tab w:val="left" w:pos="9187"/>
        </w:tabs>
        <w:ind w:left="2088" w:hanging="2088"/>
        <w:jc w:val="left"/>
      </w:pPr>
      <w:r>
        <w:tab/>
        <w:t>1/12/2016</w:t>
      </w:r>
      <w:r>
        <w:tab/>
        <w:t>House</w:t>
      </w:r>
      <w:r>
        <w:tab/>
      </w:r>
      <w:r w:rsidRPr="009D4F88">
        <w:t>Introduced and read first time (</w:t>
      </w:r>
      <w:hyperlink r:id="rId7" w:history="1">
        <w:r w:rsidRPr="00C71A3B">
          <w:rPr>
            <w:rStyle w:val="Hyperlink"/>
          </w:rPr>
          <w:t>House Journal</w:t>
        </w:r>
        <w:r w:rsidRPr="00C71A3B">
          <w:rPr>
            <w:rStyle w:val="Hyperlink"/>
          </w:rPr>
          <w:noBreakHyphen/>
          <w:t>page 84</w:t>
        </w:r>
      </w:hyperlink>
      <w:r w:rsidRPr="009D4F88">
        <w:t>)</w:t>
      </w:r>
    </w:p>
    <w:p w:rsidR="00F00D06" w:rsidRDefault="00F00D06" w:rsidP="00F00D06">
      <w:pPr>
        <w:widowControl w:val="0"/>
        <w:tabs>
          <w:tab w:val="right" w:pos="1008"/>
          <w:tab w:val="left" w:pos="1152"/>
          <w:tab w:val="left" w:pos="1872"/>
          <w:tab w:val="left" w:pos="9187"/>
        </w:tabs>
        <w:ind w:left="2088" w:hanging="2088"/>
        <w:jc w:val="left"/>
      </w:pPr>
      <w:r>
        <w:tab/>
        <w:t>1/12/2016</w:t>
      </w:r>
      <w:r>
        <w:tab/>
        <w:t>House</w:t>
      </w:r>
      <w:r>
        <w:tab/>
      </w:r>
      <w:r w:rsidRPr="009D4F88">
        <w:t>Referred</w:t>
      </w:r>
      <w:r>
        <w:t xml:space="preserve"> to Committee on </w:t>
      </w:r>
      <w:r w:rsidRPr="009D4F88">
        <w:rPr>
          <w:b/>
        </w:rPr>
        <w:t>Ways and Means</w:t>
      </w:r>
      <w:r>
        <w:t xml:space="preserve"> </w:t>
      </w:r>
      <w:r w:rsidRPr="009D4F88">
        <w:t>(</w:t>
      </w:r>
      <w:hyperlink r:id="rId8" w:history="1">
        <w:r w:rsidRPr="00C71A3B">
          <w:rPr>
            <w:rStyle w:val="Hyperlink"/>
          </w:rPr>
          <w:t>House Journal</w:t>
        </w:r>
        <w:r w:rsidRPr="00C71A3B">
          <w:rPr>
            <w:rStyle w:val="Hyperlink"/>
          </w:rPr>
          <w:noBreakHyphen/>
          <w:t>page 84</w:t>
        </w:r>
      </w:hyperlink>
      <w:r w:rsidRPr="009D4F88">
        <w:t>)</w:t>
      </w:r>
    </w:p>
    <w:p w:rsidR="00F00D06" w:rsidRDefault="00F00D06" w:rsidP="00F00D06">
      <w:pPr>
        <w:widowControl w:val="0"/>
        <w:tabs>
          <w:tab w:val="right" w:pos="1008"/>
          <w:tab w:val="left" w:pos="1152"/>
          <w:tab w:val="left" w:pos="1872"/>
          <w:tab w:val="left" w:pos="9187"/>
        </w:tabs>
        <w:ind w:left="2088" w:hanging="2088"/>
        <w:jc w:val="left"/>
      </w:pPr>
    </w:p>
    <w:p w:rsidR="005844C7" w:rsidRDefault="005844C7" w:rsidP="005844C7">
      <w:pPr>
        <w:widowControl w:val="0"/>
        <w:tabs>
          <w:tab w:val="right" w:pos="1008"/>
          <w:tab w:val="left" w:pos="1152"/>
          <w:tab w:val="left" w:pos="1872"/>
          <w:tab w:val="left" w:pos="9187"/>
        </w:tabs>
        <w:ind w:left="2088" w:hanging="2088"/>
        <w:jc w:val="left"/>
      </w:pPr>
      <w:r>
        <w:t xml:space="preserve">View the latest </w:t>
      </w:r>
      <w:hyperlink r:id="rId9" w:history="1">
        <w:r w:rsidRPr="005844C7">
          <w:rPr>
            <w:rStyle w:val="Hyperlink"/>
          </w:rPr>
          <w:t>legislative information</w:t>
        </w:r>
      </w:hyperlink>
      <w:r>
        <w:t xml:space="preserve"> at the website</w:t>
      </w:r>
    </w:p>
    <w:p w:rsidR="005844C7" w:rsidRDefault="005844C7" w:rsidP="005844C7">
      <w:pPr>
        <w:widowControl w:val="0"/>
        <w:tabs>
          <w:tab w:val="right" w:pos="1008"/>
          <w:tab w:val="left" w:pos="1152"/>
          <w:tab w:val="left" w:pos="1872"/>
          <w:tab w:val="left" w:pos="9187"/>
        </w:tabs>
        <w:ind w:left="2088" w:hanging="2088"/>
        <w:jc w:val="left"/>
      </w:pPr>
    </w:p>
    <w:p w:rsidR="005844C7" w:rsidRPr="005844C7" w:rsidRDefault="005844C7" w:rsidP="005844C7">
      <w:pPr>
        <w:widowControl w:val="0"/>
        <w:tabs>
          <w:tab w:val="right" w:pos="1008"/>
          <w:tab w:val="left" w:pos="1152"/>
          <w:tab w:val="left" w:pos="1872"/>
          <w:tab w:val="left" w:pos="9187"/>
        </w:tabs>
        <w:ind w:left="2088" w:hanging="2088"/>
        <w:jc w:val="left"/>
      </w:pPr>
    </w:p>
    <w:p w:rsidR="005844C7" w:rsidRDefault="005844C7" w:rsidP="005844C7">
      <w:pPr>
        <w:widowControl w:val="0"/>
        <w:jc w:val="left"/>
      </w:pPr>
      <w:r w:rsidRPr="005844C7">
        <w:rPr>
          <w:b/>
        </w:rPr>
        <w:t>VERSIONS OF THIS BILL</w:t>
      </w:r>
    </w:p>
    <w:p w:rsidR="005844C7" w:rsidRDefault="005844C7" w:rsidP="005844C7">
      <w:pPr>
        <w:widowControl w:val="0"/>
        <w:jc w:val="left"/>
      </w:pPr>
    </w:p>
    <w:p w:rsidR="005844C7" w:rsidRDefault="00C71A3B" w:rsidP="005844C7">
      <w:pPr>
        <w:widowControl w:val="0"/>
        <w:jc w:val="left"/>
      </w:pPr>
      <w:hyperlink r:id="rId10" w:history="1">
        <w:r w:rsidR="005844C7">
          <w:rPr>
            <w:rStyle w:val="Hyperlink"/>
          </w:rPr>
          <w:t>12/3/2015</w:t>
        </w:r>
      </w:hyperlink>
    </w:p>
    <w:p w:rsidR="005844C7" w:rsidRDefault="005844C7" w:rsidP="005844C7"/>
    <w:p w:rsidR="005844C7" w:rsidRDefault="005844C7" w:rsidP="005844C7">
      <w:pPr>
        <w:sectPr w:rsidR="005844C7" w:rsidSect="005844C7">
          <w:pgSz w:w="12240" w:h="15840" w:code="1"/>
          <w:pgMar w:top="1080" w:right="1440" w:bottom="1080" w:left="1440" w:header="720" w:footer="720" w:gutter="0"/>
          <w:cols w:space="720"/>
          <w:noEndnote/>
          <w:docGrid w:linePitch="360"/>
        </w:sectPr>
      </w:pPr>
    </w:p>
    <w:p w:rsidR="00372BBB" w:rsidRDefault="00372BBB"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0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56838">
        <w:rPr>
          <w:color w:val="000000" w:themeColor="text1"/>
          <w:u w:color="000000" w:themeColor="text1"/>
        </w:rPr>
        <w:t>TO AMEND SECTION 2</w:t>
      </w:r>
      <w:r>
        <w:rPr>
          <w:color w:val="000000" w:themeColor="text1"/>
          <w:u w:color="000000" w:themeColor="text1"/>
        </w:rPr>
        <w:noBreakHyphen/>
      </w:r>
      <w:r w:rsidRPr="00856838">
        <w:rPr>
          <w:color w:val="000000" w:themeColor="text1"/>
          <w:u w:color="000000" w:themeColor="text1"/>
        </w:rPr>
        <w:t>7</w:t>
      </w:r>
      <w:r>
        <w:rPr>
          <w:color w:val="000000" w:themeColor="text1"/>
          <w:u w:color="000000" w:themeColor="text1"/>
        </w:rPr>
        <w:noBreakHyphen/>
      </w:r>
      <w:r w:rsidRPr="00856838">
        <w:rPr>
          <w:color w:val="000000" w:themeColor="text1"/>
          <w:u w:color="000000" w:themeColor="text1"/>
        </w:rPr>
        <w:t xml:space="preserve">71 AND </w:t>
      </w:r>
      <w:r w:rsidR="00C7342C">
        <w:rPr>
          <w:color w:val="000000" w:themeColor="text1"/>
          <w:u w:color="000000" w:themeColor="text1"/>
        </w:rPr>
        <w:t xml:space="preserve">SECTION </w:t>
      </w:r>
      <w:r w:rsidRPr="00856838">
        <w:rPr>
          <w:color w:val="000000" w:themeColor="text1"/>
          <w:u w:color="000000" w:themeColor="text1"/>
        </w:rPr>
        <w:t>2</w:t>
      </w:r>
      <w:r>
        <w:rPr>
          <w:color w:val="000000" w:themeColor="text1"/>
          <w:u w:color="000000" w:themeColor="text1"/>
        </w:rPr>
        <w:noBreakHyphen/>
      </w:r>
      <w:r w:rsidRPr="00856838">
        <w:rPr>
          <w:color w:val="000000" w:themeColor="text1"/>
          <w:u w:color="000000" w:themeColor="text1"/>
        </w:rPr>
        <w:t>7</w:t>
      </w:r>
      <w:r>
        <w:rPr>
          <w:color w:val="000000" w:themeColor="text1"/>
          <w:u w:color="000000" w:themeColor="text1"/>
        </w:rPr>
        <w:noBreakHyphen/>
      </w:r>
      <w:r w:rsidRPr="00856838">
        <w:rPr>
          <w:color w:val="000000" w:themeColor="text1"/>
          <w:u w:color="000000" w:themeColor="text1"/>
        </w:rPr>
        <w:t>76</w:t>
      </w:r>
      <w:r>
        <w:rPr>
          <w:color w:val="000000" w:themeColor="text1"/>
          <w:u w:color="000000" w:themeColor="text1"/>
        </w:rPr>
        <w:t>, AS AMENDED,</w:t>
      </w:r>
      <w:r w:rsidRPr="00856838">
        <w:rPr>
          <w:color w:val="000000" w:themeColor="text1"/>
          <w:u w:color="000000" w:themeColor="text1"/>
        </w:rPr>
        <w:t xml:space="preserve"> CODE OF LAWS OF SOUTH CAROLINA, 1976, RELATING TO CERTAIN ESTIMATED REVENUE IMPACT STATEMENTS, SO AS TO REQUIRE THE REVENUE OF FISCAL AFFAIRS OFFICE TO TAKE INTO CONSIDERATION THE PROBABLE BEHAVIORAL RESPONSE OF TAXPAYERS, BUSINESSES, AND OTHER CITIZENS WHEN COMPUTING REVENUE IMPACT STATEMENTS.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09C" w:rsidRDefault="0038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09C" w:rsidRDefault="0038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91" w:rsidRPr="00856838" w:rsidRDefault="0038309C"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4391" w:rsidRPr="00856838">
        <w:rPr>
          <w:color w:val="000000" w:themeColor="text1"/>
          <w:u w:color="000000" w:themeColor="text1"/>
        </w:rPr>
        <w:t>Section 2</w:t>
      </w:r>
      <w:r w:rsidR="00D84391">
        <w:rPr>
          <w:color w:val="000000" w:themeColor="text1"/>
          <w:u w:color="000000" w:themeColor="text1"/>
        </w:rPr>
        <w:noBreakHyphen/>
      </w:r>
      <w:r w:rsidR="00D84391" w:rsidRPr="00856838">
        <w:rPr>
          <w:color w:val="000000" w:themeColor="text1"/>
          <w:u w:color="000000" w:themeColor="text1"/>
        </w:rPr>
        <w:t>7</w:t>
      </w:r>
      <w:r w:rsidR="00D84391">
        <w:rPr>
          <w:color w:val="000000" w:themeColor="text1"/>
          <w:u w:color="000000" w:themeColor="text1"/>
        </w:rPr>
        <w:noBreakHyphen/>
      </w:r>
      <w:r w:rsidR="00D84391" w:rsidRPr="00856838">
        <w:rPr>
          <w:color w:val="000000" w:themeColor="text1"/>
          <w:u w:color="000000" w:themeColor="text1"/>
        </w:rPr>
        <w:t>71 of the 1976 Code is amended to read:</w:t>
      </w: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56838">
        <w:rPr>
          <w:color w:val="000000" w:themeColor="text1"/>
          <w:u w:color="000000" w:themeColor="text1"/>
        </w:rPr>
        <w:t>“</w:t>
      </w:r>
      <w:r>
        <w:rPr>
          <w:color w:val="000000" w:themeColor="text1"/>
          <w:u w:color="000000" w:themeColor="text1"/>
        </w:rPr>
        <w:t>Section 2</w:t>
      </w:r>
      <w:r>
        <w:rPr>
          <w:color w:val="000000" w:themeColor="text1"/>
          <w:u w:color="000000" w:themeColor="text1"/>
        </w:rPr>
        <w:noBreakHyphen/>
        <w:t>7</w:t>
      </w:r>
      <w:r>
        <w:rPr>
          <w:color w:val="000000" w:themeColor="text1"/>
          <w:u w:color="000000" w:themeColor="text1"/>
        </w:rPr>
        <w:noBreakHyphen/>
        <w:t>71.</w:t>
      </w:r>
      <w:r>
        <w:rPr>
          <w:color w:val="000000" w:themeColor="text1"/>
          <w:u w:color="000000" w:themeColor="text1"/>
        </w:rPr>
        <w:tab/>
      </w:r>
      <w:r w:rsidRPr="00856838">
        <w:rPr>
          <w:color w:val="000000" w:themeColor="text1"/>
          <w:u w:color="000000" w:themeColor="text1"/>
        </w:rPr>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Board of Economic Advisors. As used in this section </w:t>
      </w:r>
      <w:r w:rsidRPr="00D84391">
        <w:rPr>
          <w:color w:val="000000" w:themeColor="text1"/>
          <w:u w:color="000000" w:themeColor="text1"/>
        </w:rPr>
        <w:t>‘</w:t>
      </w:r>
      <w:r w:rsidRPr="00856838">
        <w:rPr>
          <w:color w:val="000000" w:themeColor="text1"/>
          <w:u w:color="000000" w:themeColor="text1"/>
        </w:rPr>
        <w:t>statement of estimated revenue impact</w:t>
      </w:r>
      <w:r w:rsidRPr="00D84391">
        <w:rPr>
          <w:color w:val="000000" w:themeColor="text1"/>
          <w:u w:color="000000" w:themeColor="text1"/>
        </w:rPr>
        <w:t>’</w:t>
      </w:r>
      <w:r w:rsidRPr="00856838">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w:t>
      </w:r>
      <w:r w:rsidRPr="00856838">
        <w:rPr>
          <w:color w:val="000000" w:themeColor="text1"/>
          <w:u w:val="single" w:color="000000" w:themeColor="text1"/>
        </w:rPr>
        <w:t>and must take into consideration the probable behavioral response of taxpayers, businesses, and other citizens and must include within the analysis a statement identifying those considerations</w:t>
      </w:r>
      <w:r w:rsidRPr="00D84391">
        <w:rPr>
          <w:color w:val="000000" w:themeColor="text1"/>
          <w:u w:color="000000" w:themeColor="text1"/>
        </w:rPr>
        <w:t>.</w:t>
      </w:r>
      <w:r w:rsidRPr="00856838">
        <w:rPr>
          <w:color w:val="000000" w:themeColor="text1"/>
          <w:u w:color="000000" w:themeColor="text1"/>
        </w:rPr>
        <w:t xml:space="preserve"> </w:t>
      </w:r>
      <w:r>
        <w:rPr>
          <w:color w:val="000000" w:themeColor="text1"/>
          <w:u w:color="000000" w:themeColor="text1"/>
        </w:rPr>
        <w:t xml:space="preserve"> </w:t>
      </w:r>
      <w:r w:rsidRPr="00856838">
        <w:rPr>
          <w:color w:val="000000" w:themeColor="text1"/>
          <w:u w:color="000000" w:themeColor="text1"/>
        </w:rPr>
        <w:t>In preparing a statement, the Board of Economic Advisors may request technical advice of the Department of Revenue.”</w:t>
      </w: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838">
        <w:rPr>
          <w:color w:val="000000" w:themeColor="text1"/>
          <w:u w:color="000000" w:themeColor="text1"/>
        </w:rPr>
        <w:t>SECTION</w:t>
      </w:r>
      <w:r>
        <w:rPr>
          <w:color w:val="000000" w:themeColor="text1"/>
          <w:u w:color="000000" w:themeColor="text1"/>
        </w:rPr>
        <w:tab/>
      </w:r>
      <w:r w:rsidRPr="00856838">
        <w:rPr>
          <w:color w:val="000000" w:themeColor="text1"/>
          <w:u w:color="000000" w:themeColor="text1"/>
        </w:rPr>
        <w:t>2.</w:t>
      </w:r>
      <w:r>
        <w:rPr>
          <w:color w:val="000000" w:themeColor="text1"/>
          <w:u w:color="000000" w:themeColor="text1"/>
        </w:rPr>
        <w:tab/>
      </w:r>
      <w:r w:rsidRPr="00856838">
        <w:rPr>
          <w:color w:val="000000" w:themeColor="text1"/>
          <w:u w:color="000000" w:themeColor="text1"/>
        </w:rPr>
        <w:t>Section 2</w:t>
      </w:r>
      <w:r>
        <w:rPr>
          <w:color w:val="000000" w:themeColor="text1"/>
          <w:u w:color="000000" w:themeColor="text1"/>
        </w:rPr>
        <w:noBreakHyphen/>
      </w:r>
      <w:r w:rsidRPr="00856838">
        <w:rPr>
          <w:color w:val="000000" w:themeColor="text1"/>
          <w:u w:color="000000" w:themeColor="text1"/>
        </w:rPr>
        <w:t>7</w:t>
      </w:r>
      <w:r>
        <w:rPr>
          <w:color w:val="000000" w:themeColor="text1"/>
          <w:u w:color="000000" w:themeColor="text1"/>
        </w:rPr>
        <w:noBreakHyphen/>
      </w:r>
      <w:r w:rsidRPr="00856838">
        <w:rPr>
          <w:color w:val="000000" w:themeColor="text1"/>
          <w:u w:color="000000" w:themeColor="text1"/>
        </w:rPr>
        <w:t>76 of the 1976 Code</w:t>
      </w:r>
      <w:r>
        <w:rPr>
          <w:color w:val="000000" w:themeColor="text1"/>
          <w:u w:color="000000" w:themeColor="text1"/>
        </w:rPr>
        <w:t>, as last amended by Act 121 of 2014,</w:t>
      </w:r>
      <w:r w:rsidRPr="00856838">
        <w:rPr>
          <w:color w:val="000000" w:themeColor="text1"/>
          <w:u w:color="000000" w:themeColor="text1"/>
        </w:rPr>
        <w:t xml:space="preserve"> is</w:t>
      </w:r>
      <w:r>
        <w:rPr>
          <w:color w:val="000000" w:themeColor="text1"/>
          <w:u w:color="000000" w:themeColor="text1"/>
        </w:rPr>
        <w:t xml:space="preserve"> further</w:t>
      </w:r>
      <w:r w:rsidRPr="00856838">
        <w:rPr>
          <w:color w:val="000000" w:themeColor="text1"/>
          <w:u w:color="000000" w:themeColor="text1"/>
        </w:rPr>
        <w:t xml:space="preserve"> amended by adding an appropriately lettered subsection to read: </w:t>
      </w: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391" w:rsidRPr="00B50C95"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6838">
        <w:rPr>
          <w:color w:val="000000" w:themeColor="text1"/>
          <w:u w:color="000000" w:themeColor="text1"/>
        </w:rPr>
        <w:t>“</w:t>
      </w:r>
      <w:r w:rsidRPr="00B50C95">
        <w:rPr>
          <w:color w:val="000000" w:themeColor="text1"/>
          <w:u w:color="000000" w:themeColor="text1"/>
        </w:rPr>
        <w:t>( )</w:t>
      </w:r>
      <w:r w:rsidRPr="00B50C95">
        <w:rPr>
          <w:color w:val="000000" w:themeColor="text1"/>
          <w:u w:color="000000" w:themeColor="text1"/>
        </w:rPr>
        <w:tab/>
        <w:t xml:space="preserve">The statement of estimated revenue impact must take into consideration the probable behavioral response of taxpayers, businesses, and other citizens and must include within the analysis a statement identifying those considerations.” </w:t>
      </w:r>
    </w:p>
    <w:p w:rsidR="00D84391" w:rsidRPr="00B50C95"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09C" w:rsidRDefault="00D84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838">
        <w:rPr>
          <w:color w:val="000000" w:themeColor="text1"/>
          <w:u w:color="000000" w:themeColor="text1"/>
        </w:rPr>
        <w:t>SECTION</w:t>
      </w:r>
      <w:r>
        <w:rPr>
          <w:color w:val="000000" w:themeColor="text1"/>
          <w:u w:color="000000" w:themeColor="text1"/>
        </w:rPr>
        <w:tab/>
      </w:r>
      <w:r w:rsidRPr="00856838">
        <w:rPr>
          <w:color w:val="000000" w:themeColor="text1"/>
          <w:u w:color="000000" w:themeColor="text1"/>
        </w:rPr>
        <w:t>3.</w:t>
      </w:r>
      <w:r>
        <w:rPr>
          <w:color w:val="000000" w:themeColor="text1"/>
          <w:u w:color="000000" w:themeColor="text1"/>
        </w:rPr>
        <w:tab/>
      </w:r>
      <w:r w:rsidR="0038309C">
        <w:t>This act takes effect upon approval by the Governor.</w:t>
      </w:r>
    </w:p>
    <w:p w:rsidR="005844C7" w:rsidRPr="006E0A75" w:rsidRDefault="00D84391" w:rsidP="00584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5844C7" w:rsidRPr="006E0A75" w:rsidSect="005844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09C" w:rsidRDefault="0038309C" w:rsidP="009F0C77">
      <w:r>
        <w:separator/>
      </w:r>
    </w:p>
  </w:endnote>
  <w:endnote w:type="continuationSeparator" w:id="0">
    <w:p w:rsidR="0038309C" w:rsidRDefault="00383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F9B2AA-23E5-4B0E-836B-FB0CAAEB45D9}"/>
    <w:embedBold r:id="rId2" w:fontKey="{93956C3D-512D-4E82-A763-16391420040F}"/>
  </w:font>
  <w:font w:name="Calibri">
    <w:panose1 w:val="020F0502020204030204"/>
    <w:charset w:val="00"/>
    <w:family w:val="swiss"/>
    <w:pitch w:val="variable"/>
    <w:sig w:usb0="E00002FF" w:usb1="4000ACFF" w:usb2="00000001" w:usb3="00000000" w:csb0="0000019F" w:csb1="00000000"/>
    <w:embedRegular r:id="rId3" w:fontKey="{4D22D24F-7C38-4729-925B-99D1F07A9407}"/>
  </w:font>
  <w:font w:name="Segoe UI">
    <w:panose1 w:val="020B0502040204020203"/>
    <w:charset w:val="00"/>
    <w:family w:val="swiss"/>
    <w:pitch w:val="variable"/>
    <w:sig w:usb0="E10022FF" w:usb1="C000E47F" w:usb2="00000029" w:usb3="00000000" w:csb0="000001DF" w:csb1="00000000"/>
    <w:embedRegular r:id="rId4" w:fontKey="{8333D5E9-67A9-4B3A-8935-4C637137378F}"/>
  </w:font>
  <w:font w:name="Cambria">
    <w:panose1 w:val="02040503050406030204"/>
    <w:charset w:val="00"/>
    <w:family w:val="roman"/>
    <w:pitch w:val="variable"/>
    <w:sig w:usb0="E00002FF" w:usb1="400004FF" w:usb2="00000000" w:usb3="00000000" w:csb0="0000019F" w:csb1="00000000"/>
    <w:embedRegular r:id="rId5" w:fontKey="{441C13BD-732C-457C-9CB0-5309EC097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4C7" w:rsidRPr="00372BBB" w:rsidRDefault="005844C7" w:rsidP="00372BBB">
    <w:pPr>
      <w:pStyle w:val="Footer"/>
      <w:tabs>
        <w:tab w:val="clear" w:pos="4680"/>
        <w:tab w:val="clear" w:pos="9360"/>
        <w:tab w:val="center" w:pos="2995"/>
      </w:tabs>
      <w:spacing w:before="120"/>
    </w:pPr>
    <w:r>
      <w:t>[4502]</w:t>
    </w:r>
    <w:r>
      <w:tab/>
    </w:r>
    <w:r>
      <w:fldChar w:fldCharType="begin"/>
    </w:r>
    <w:r>
      <w:instrText xml:space="preserve"> PAGE  \* MERGEFORMAT </w:instrText>
    </w:r>
    <w:r>
      <w:fldChar w:fldCharType="separate"/>
    </w:r>
    <w:r w:rsidR="00C71A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09C" w:rsidRDefault="0038309C" w:rsidP="009F0C77">
      <w:r>
        <w:separator/>
      </w:r>
    </w:p>
  </w:footnote>
  <w:footnote w:type="continuationSeparator" w:id="0">
    <w:p w:rsidR="0038309C" w:rsidRDefault="00383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9SA16"/>
    <w:docVar w:name="CoverBillType" w:val="b"/>
    <w:docVar w:name="docpath" w:val="L:\Council\bills\DKA\3129SA16.DOCX"/>
    <w:docVar w:name="dvBillNumber" w:val="4502"/>
    <w:docVar w:name="dvBillNumberPrefix" w:val="H. "/>
    <w:docVar w:name="dvOriginalBody" w:val="House"/>
    <w:docVar w:name="dvSteno" w:val="DKA"/>
    <w:docVar w:name="NameofBody" w:val="h"/>
    <w:docVar w:name="vgroup2" w:val="Council"/>
  </w:docVars>
  <w:rsids>
    <w:rsidRoot w:val="0038309C"/>
    <w:rsid w:val="00011869"/>
    <w:rsid w:val="00015CD6"/>
    <w:rsid w:val="000A1B43"/>
    <w:rsid w:val="000E1785"/>
    <w:rsid w:val="000F40FA"/>
    <w:rsid w:val="0010776B"/>
    <w:rsid w:val="00133E66"/>
    <w:rsid w:val="001435A3"/>
    <w:rsid w:val="00146ED3"/>
    <w:rsid w:val="00151044"/>
    <w:rsid w:val="001D08F2"/>
    <w:rsid w:val="001D525B"/>
    <w:rsid w:val="001D7F4F"/>
    <w:rsid w:val="001E4AE4"/>
    <w:rsid w:val="00205238"/>
    <w:rsid w:val="002321B6"/>
    <w:rsid w:val="00250967"/>
    <w:rsid w:val="002543C8"/>
    <w:rsid w:val="0025541D"/>
    <w:rsid w:val="00267A16"/>
    <w:rsid w:val="00284AAE"/>
    <w:rsid w:val="002D09A7"/>
    <w:rsid w:val="002E5912"/>
    <w:rsid w:val="00301B21"/>
    <w:rsid w:val="00325348"/>
    <w:rsid w:val="0032732C"/>
    <w:rsid w:val="00336AD0"/>
    <w:rsid w:val="0037079A"/>
    <w:rsid w:val="00372BBB"/>
    <w:rsid w:val="0038309C"/>
    <w:rsid w:val="003C4DAB"/>
    <w:rsid w:val="003D01E8"/>
    <w:rsid w:val="003E5288"/>
    <w:rsid w:val="003F6D79"/>
    <w:rsid w:val="0041760A"/>
    <w:rsid w:val="00417C01"/>
    <w:rsid w:val="004403BD"/>
    <w:rsid w:val="00461441"/>
    <w:rsid w:val="004803DC"/>
    <w:rsid w:val="004809EE"/>
    <w:rsid w:val="004E7D54"/>
    <w:rsid w:val="005273C6"/>
    <w:rsid w:val="00530A69"/>
    <w:rsid w:val="00532C04"/>
    <w:rsid w:val="00545593"/>
    <w:rsid w:val="00577C6C"/>
    <w:rsid w:val="005844C7"/>
    <w:rsid w:val="005C2FE2"/>
    <w:rsid w:val="005E2BC9"/>
    <w:rsid w:val="00605102"/>
    <w:rsid w:val="006215AA"/>
    <w:rsid w:val="006913C9"/>
    <w:rsid w:val="0069470D"/>
    <w:rsid w:val="006E053F"/>
    <w:rsid w:val="006E0A75"/>
    <w:rsid w:val="00704FDE"/>
    <w:rsid w:val="00734F00"/>
    <w:rsid w:val="007A70AE"/>
    <w:rsid w:val="007B3B2A"/>
    <w:rsid w:val="008362E8"/>
    <w:rsid w:val="008A1768"/>
    <w:rsid w:val="008F0F33"/>
    <w:rsid w:val="008F4429"/>
    <w:rsid w:val="0092199B"/>
    <w:rsid w:val="0094021A"/>
    <w:rsid w:val="009B44AF"/>
    <w:rsid w:val="009C6A0B"/>
    <w:rsid w:val="009F0C77"/>
    <w:rsid w:val="009F4DD1"/>
    <w:rsid w:val="00A41684"/>
    <w:rsid w:val="00A64E80"/>
    <w:rsid w:val="00A72BCD"/>
    <w:rsid w:val="00A741D9"/>
    <w:rsid w:val="00A833AB"/>
    <w:rsid w:val="00A9741D"/>
    <w:rsid w:val="00AA549A"/>
    <w:rsid w:val="00AD4B17"/>
    <w:rsid w:val="00B412D4"/>
    <w:rsid w:val="00B50C95"/>
    <w:rsid w:val="00BE3C22"/>
    <w:rsid w:val="00C0345E"/>
    <w:rsid w:val="00C3483A"/>
    <w:rsid w:val="00C71A3B"/>
    <w:rsid w:val="00C7342C"/>
    <w:rsid w:val="00C74E9D"/>
    <w:rsid w:val="00C82FD3"/>
    <w:rsid w:val="00C92819"/>
    <w:rsid w:val="00CC6B7B"/>
    <w:rsid w:val="00CD2089"/>
    <w:rsid w:val="00D73A67"/>
    <w:rsid w:val="00D84391"/>
    <w:rsid w:val="00D970A9"/>
    <w:rsid w:val="00DF3845"/>
    <w:rsid w:val="00E41911"/>
    <w:rsid w:val="00E92EEF"/>
    <w:rsid w:val="00EF2368"/>
    <w:rsid w:val="00F00D06"/>
    <w:rsid w:val="00F24442"/>
    <w:rsid w:val="00F50AE3"/>
    <w:rsid w:val="00F656BA"/>
    <w:rsid w:val="00F67CF1"/>
    <w:rsid w:val="00F840F0"/>
    <w:rsid w:val="00FA5AA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3CC1C-AC26-455A-B5D5-E90EA744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0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9A7"/>
    <w:rPr>
      <w:rFonts w:ascii="Segoe UI" w:eastAsia="Times New Roman" w:hAnsi="Segoe UI" w:cs="Segoe UI"/>
      <w:sz w:val="18"/>
      <w:szCs w:val="18"/>
    </w:rPr>
  </w:style>
  <w:style w:type="character" w:styleId="Hyperlink">
    <w:name w:val="Hyperlink"/>
    <w:basedOn w:val="DefaultParagraphFont"/>
    <w:uiPriority w:val="99"/>
    <w:unhideWhenUsed/>
    <w:rsid w:val="00584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0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63DF7-DC75-4B66-8CC6-10578062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434</Words>
  <Characters>2474</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4502: Revenue impact statements - South Carolina Legislature Online</dc:title>
  <dc:creator>sharonpair</dc:creator>
  <cp:lastModifiedBy>N Cumfer</cp:lastModifiedBy>
  <cp:revision>2</cp:revision>
  <cp:lastPrinted>2015-11-30T15:46:00Z</cp:lastPrinted>
  <dcterms:created xsi:type="dcterms:W3CDTF">2016-12-02T19:11:00Z</dcterms:created>
  <dcterms:modified xsi:type="dcterms:W3CDTF">2016-12-02T19:11:00Z</dcterms:modified>
</cp:coreProperties>
</file>