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C07" w:rsidRDefault="00324C07" w:rsidP="00324C07">
      <w:pPr>
        <w:widowControl w:val="0"/>
        <w:jc w:val="center"/>
      </w:pPr>
      <w:bookmarkStart w:id="0" w:name="_GoBack"/>
      <w:bookmarkEnd w:id="0"/>
      <w:r w:rsidRPr="00324C07">
        <w:rPr>
          <w:b/>
        </w:rPr>
        <w:t>South Carolina General Assembly</w:t>
      </w:r>
    </w:p>
    <w:p w:rsidR="00324C07" w:rsidRDefault="00324C07" w:rsidP="00324C07">
      <w:pPr>
        <w:widowControl w:val="0"/>
        <w:jc w:val="center"/>
      </w:pPr>
      <w:r>
        <w:t>121st Session, 2015-2016</w:t>
      </w:r>
    </w:p>
    <w:p w:rsidR="00324C07" w:rsidRDefault="00324C07" w:rsidP="00324C07">
      <w:pPr>
        <w:widowControl w:val="0"/>
        <w:jc w:val="left"/>
      </w:pPr>
    </w:p>
    <w:p w:rsidR="00324C07" w:rsidRDefault="00324C07" w:rsidP="00324C07">
      <w:pPr>
        <w:widowControl w:val="0"/>
        <w:jc w:val="left"/>
        <w:rPr>
          <w:b/>
        </w:rPr>
      </w:pPr>
      <w:r w:rsidRPr="00324C07">
        <w:rPr>
          <w:b/>
        </w:rPr>
        <w:t>S.</w:t>
      </w:r>
      <w:r>
        <w:rPr>
          <w:b/>
        </w:rPr>
        <w:t xml:space="preserve"> </w:t>
      </w:r>
      <w:r w:rsidRPr="00324C07">
        <w:rPr>
          <w:b/>
        </w:rPr>
        <w:t>460</w:t>
      </w:r>
    </w:p>
    <w:p w:rsidR="00324C07" w:rsidRDefault="00324C07" w:rsidP="00324C07">
      <w:pPr>
        <w:widowControl w:val="0"/>
        <w:jc w:val="left"/>
        <w:rPr>
          <w:b/>
        </w:rPr>
      </w:pPr>
    </w:p>
    <w:p w:rsidR="00324C07" w:rsidRDefault="00324C07" w:rsidP="00324C07">
      <w:pPr>
        <w:widowControl w:val="0"/>
        <w:jc w:val="left"/>
      </w:pPr>
      <w:r w:rsidRPr="00324C07">
        <w:rPr>
          <w:b/>
        </w:rPr>
        <w:t>STATUS INFORMATION</w:t>
      </w:r>
    </w:p>
    <w:p w:rsidR="00324C07" w:rsidRDefault="00324C07" w:rsidP="00324C07">
      <w:pPr>
        <w:widowControl w:val="0"/>
        <w:jc w:val="left"/>
      </w:pPr>
    </w:p>
    <w:p w:rsidR="00324C07" w:rsidRDefault="00324C07" w:rsidP="00324C07">
      <w:pPr>
        <w:widowControl w:val="0"/>
        <w:jc w:val="left"/>
      </w:pPr>
      <w:r>
        <w:t>General Bill</w:t>
      </w:r>
    </w:p>
    <w:p w:rsidR="00324C07" w:rsidRDefault="00324C07" w:rsidP="00324C07">
      <w:pPr>
        <w:widowControl w:val="0"/>
        <w:jc w:val="left"/>
      </w:pPr>
      <w:r>
        <w:t>Sponsors: Senator Campsen</w:t>
      </w:r>
    </w:p>
    <w:p w:rsidR="00324C07" w:rsidRDefault="00324C07" w:rsidP="00324C07">
      <w:pPr>
        <w:widowControl w:val="0"/>
        <w:jc w:val="left"/>
      </w:pPr>
      <w:r>
        <w:t>Document Path: l:\council\bills\dka\3066sa15.docx</w:t>
      </w:r>
    </w:p>
    <w:p w:rsidR="00324C07" w:rsidRDefault="00324C07" w:rsidP="00324C07">
      <w:pPr>
        <w:widowControl w:val="0"/>
        <w:jc w:val="left"/>
      </w:pPr>
    </w:p>
    <w:p w:rsidR="00626713" w:rsidRDefault="00626713" w:rsidP="00324C07">
      <w:pPr>
        <w:widowControl w:val="0"/>
        <w:jc w:val="left"/>
      </w:pPr>
      <w:r>
        <w:t>Introduced in the Senate on February 17, 2015</w:t>
      </w:r>
    </w:p>
    <w:p w:rsidR="00626713" w:rsidRDefault="00626713" w:rsidP="00324C07">
      <w:pPr>
        <w:widowControl w:val="0"/>
        <w:jc w:val="left"/>
      </w:pPr>
      <w:r>
        <w:t>Introduced in the House on April 14, 2015</w:t>
      </w:r>
    </w:p>
    <w:p w:rsidR="00626713" w:rsidRDefault="00626713" w:rsidP="00324C07">
      <w:pPr>
        <w:widowControl w:val="0"/>
        <w:jc w:val="left"/>
      </w:pPr>
      <w:r>
        <w:t>Last Amended on May 25, 2016</w:t>
      </w:r>
    </w:p>
    <w:p w:rsidR="00626713" w:rsidRDefault="00626713" w:rsidP="00324C07">
      <w:pPr>
        <w:widowControl w:val="0"/>
        <w:jc w:val="left"/>
      </w:pPr>
      <w:r>
        <w:t>Currently residing in the Senate</w:t>
      </w:r>
    </w:p>
    <w:p w:rsidR="00626713" w:rsidRDefault="00626713" w:rsidP="00324C07">
      <w:pPr>
        <w:widowControl w:val="0"/>
        <w:jc w:val="left"/>
      </w:pPr>
    </w:p>
    <w:p w:rsidR="00324C07" w:rsidRDefault="00324C07" w:rsidP="00324C07">
      <w:pPr>
        <w:widowControl w:val="0"/>
        <w:jc w:val="left"/>
      </w:pPr>
      <w:r>
        <w:t xml:space="preserve">Summary: </w:t>
      </w:r>
      <w:r w:rsidR="00D77D16">
        <w:t>Tax bills</w:t>
      </w:r>
    </w:p>
    <w:p w:rsidR="00324C07" w:rsidRDefault="00324C07" w:rsidP="00324C07">
      <w:pPr>
        <w:widowControl w:val="0"/>
        <w:jc w:val="left"/>
      </w:pPr>
    </w:p>
    <w:p w:rsidR="00324C07" w:rsidRDefault="00324C07" w:rsidP="00324C07">
      <w:pPr>
        <w:widowControl w:val="0"/>
        <w:jc w:val="left"/>
      </w:pPr>
    </w:p>
    <w:p w:rsidR="00324C07" w:rsidRDefault="00324C07" w:rsidP="00324C07">
      <w:pPr>
        <w:widowControl w:val="0"/>
        <w:tabs>
          <w:tab w:val="center" w:pos="590"/>
          <w:tab w:val="center" w:pos="1440"/>
          <w:tab w:val="left" w:pos="1872"/>
          <w:tab w:val="left" w:pos="9187"/>
        </w:tabs>
        <w:jc w:val="left"/>
      </w:pPr>
      <w:r w:rsidRPr="00324C07">
        <w:rPr>
          <w:b/>
        </w:rPr>
        <w:t>HISTORY OF LEGISLATIVE ACTIONS</w:t>
      </w:r>
    </w:p>
    <w:p w:rsidR="00324C07" w:rsidRDefault="00324C07" w:rsidP="00324C07">
      <w:pPr>
        <w:widowControl w:val="0"/>
        <w:tabs>
          <w:tab w:val="center" w:pos="590"/>
          <w:tab w:val="center" w:pos="1440"/>
          <w:tab w:val="left" w:pos="1872"/>
          <w:tab w:val="left" w:pos="9187"/>
        </w:tabs>
        <w:jc w:val="left"/>
      </w:pPr>
    </w:p>
    <w:p w:rsidR="00324C07" w:rsidRPr="00324C07" w:rsidRDefault="00324C07" w:rsidP="00324C07">
      <w:pPr>
        <w:widowControl w:val="0"/>
        <w:tabs>
          <w:tab w:val="center" w:pos="590"/>
          <w:tab w:val="center" w:pos="1440"/>
          <w:tab w:val="left" w:pos="1872"/>
          <w:tab w:val="left" w:pos="9187"/>
        </w:tabs>
        <w:jc w:val="left"/>
      </w:pPr>
      <w:r w:rsidRPr="00324C07">
        <w:rPr>
          <w:u w:val="single"/>
        </w:rPr>
        <w:tab/>
        <w:t>Date</w:t>
      </w:r>
      <w:r w:rsidRPr="00324C07">
        <w:rPr>
          <w:u w:val="single"/>
        </w:rPr>
        <w:tab/>
        <w:t>Body</w:t>
      </w:r>
      <w:r w:rsidRPr="00324C07">
        <w:rPr>
          <w:u w:val="single"/>
        </w:rPr>
        <w:tab/>
        <w:t>Action Description with journal page number</w:t>
      </w:r>
      <w:r w:rsidRPr="00324C07">
        <w:rPr>
          <w:u w:val="single"/>
        </w:rPr>
        <w:tab/>
      </w:r>
    </w:p>
    <w:p w:rsidR="002E11DD" w:rsidRDefault="002E11DD" w:rsidP="002E11DD">
      <w:pPr>
        <w:widowControl w:val="0"/>
        <w:tabs>
          <w:tab w:val="right" w:pos="1008"/>
          <w:tab w:val="left" w:pos="1152"/>
          <w:tab w:val="left" w:pos="1872"/>
          <w:tab w:val="left" w:pos="9187"/>
        </w:tabs>
        <w:ind w:left="2088" w:hanging="2088"/>
        <w:jc w:val="left"/>
      </w:pPr>
      <w:r>
        <w:tab/>
        <w:t>2/17/2015</w:t>
      </w:r>
      <w:r>
        <w:tab/>
        <w:t>Senate</w:t>
      </w:r>
      <w:r>
        <w:tab/>
      </w:r>
      <w:r w:rsidRPr="00EF0118">
        <w:t>Introduced and read first time (</w:t>
      </w:r>
      <w:hyperlink r:id="rId7" w:history="1">
        <w:r w:rsidRPr="002D64EE">
          <w:rPr>
            <w:rStyle w:val="Hyperlink"/>
          </w:rPr>
          <w:t>Senate Journal</w:t>
        </w:r>
        <w:r w:rsidRPr="002D64EE">
          <w:rPr>
            <w:rStyle w:val="Hyperlink"/>
          </w:rPr>
          <w:noBreakHyphen/>
          <w:t>page 7</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2/17/2015</w:t>
      </w:r>
      <w:r>
        <w:tab/>
        <w:t>Senate</w:t>
      </w:r>
      <w:r>
        <w:tab/>
      </w:r>
      <w:r w:rsidRPr="00EF0118">
        <w:t>R</w:t>
      </w:r>
      <w:r>
        <w:t xml:space="preserve">eferred to Committee on </w:t>
      </w:r>
      <w:r w:rsidRPr="00EF0118">
        <w:rPr>
          <w:b/>
        </w:rPr>
        <w:t>Finance</w:t>
      </w:r>
      <w:r>
        <w:t xml:space="preserve"> </w:t>
      </w:r>
      <w:r w:rsidRPr="00EF0118">
        <w:t>(</w:t>
      </w:r>
      <w:hyperlink r:id="rId8" w:history="1">
        <w:r w:rsidRPr="002D64EE">
          <w:rPr>
            <w:rStyle w:val="Hyperlink"/>
          </w:rPr>
          <w:t>Senate Journal</w:t>
        </w:r>
        <w:r w:rsidRPr="002D64EE">
          <w:rPr>
            <w:rStyle w:val="Hyperlink"/>
          </w:rPr>
          <w:noBreakHyphen/>
          <w:t>page 7</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3/18/2015</w:t>
      </w:r>
      <w:r>
        <w:tab/>
        <w:t>Senate</w:t>
      </w:r>
      <w:r>
        <w:tab/>
      </w:r>
      <w:r w:rsidRPr="00EF0118">
        <w:t>Committee r</w:t>
      </w:r>
      <w:r>
        <w:t xml:space="preserve">eport: Favorable with amendment </w:t>
      </w:r>
      <w:r w:rsidRPr="00EF0118">
        <w:rPr>
          <w:b/>
        </w:rPr>
        <w:t>Finance</w:t>
      </w:r>
      <w:r w:rsidRPr="00EF0118">
        <w:t xml:space="preserve"> (</w:t>
      </w:r>
      <w:hyperlink r:id="rId9" w:history="1">
        <w:r w:rsidRPr="002D64EE">
          <w:rPr>
            <w:rStyle w:val="Hyperlink"/>
          </w:rPr>
          <w:t>Senate Journal</w:t>
        </w:r>
        <w:r w:rsidRPr="002D64EE">
          <w:rPr>
            <w:rStyle w:val="Hyperlink"/>
          </w:rPr>
          <w:noBreakHyphen/>
          <w:t>page 12</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3/24/2015</w:t>
      </w:r>
      <w:r>
        <w:tab/>
        <w:t>Senate</w:t>
      </w:r>
      <w:r>
        <w:tab/>
      </w:r>
      <w:r w:rsidRPr="00EF0118">
        <w:t>Committee Amendment Adopted (</w:t>
      </w:r>
      <w:hyperlink r:id="rId10" w:history="1">
        <w:r w:rsidRPr="002D64EE">
          <w:rPr>
            <w:rStyle w:val="Hyperlink"/>
          </w:rPr>
          <w:t>Senate Journal</w:t>
        </w:r>
        <w:r w:rsidRPr="002D64EE">
          <w:rPr>
            <w:rStyle w:val="Hyperlink"/>
          </w:rPr>
          <w:noBreakHyphen/>
          <w:t>page 18</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3/24/2015</w:t>
      </w:r>
      <w:r>
        <w:tab/>
        <w:t>Senate</w:t>
      </w:r>
      <w:r>
        <w:tab/>
      </w:r>
      <w:r w:rsidRPr="00EF0118">
        <w:t>Read second time (</w:t>
      </w:r>
      <w:hyperlink r:id="rId11" w:history="1">
        <w:r w:rsidRPr="002D64EE">
          <w:rPr>
            <w:rStyle w:val="Hyperlink"/>
          </w:rPr>
          <w:t>Senate Journal</w:t>
        </w:r>
        <w:r w:rsidRPr="002D64EE">
          <w:rPr>
            <w:rStyle w:val="Hyperlink"/>
          </w:rPr>
          <w:noBreakHyphen/>
          <w:t>page 18</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3/24/2015</w:t>
      </w:r>
      <w:r>
        <w:tab/>
        <w:t>Senate</w:t>
      </w:r>
      <w:r>
        <w:tab/>
      </w:r>
      <w:r w:rsidRPr="00EF0118">
        <w:t>Roll call Ayes</w:t>
      </w:r>
      <w:r>
        <w:noBreakHyphen/>
      </w:r>
      <w:r w:rsidRPr="00EF0118">
        <w:t>39  Nays</w:t>
      </w:r>
      <w:r>
        <w:noBreakHyphen/>
      </w:r>
      <w:r w:rsidRPr="00EF0118">
        <w:t>0 (</w:t>
      </w:r>
      <w:hyperlink r:id="rId12" w:history="1">
        <w:r w:rsidRPr="002D64EE">
          <w:rPr>
            <w:rStyle w:val="Hyperlink"/>
          </w:rPr>
          <w:t>Senate Journal</w:t>
        </w:r>
        <w:r w:rsidRPr="002D64EE">
          <w:rPr>
            <w:rStyle w:val="Hyperlink"/>
          </w:rPr>
          <w:noBreakHyphen/>
          <w:t>page 18</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3/26/2015</w:t>
      </w:r>
      <w:r>
        <w:tab/>
        <w:t>Senate</w:t>
      </w:r>
      <w:r>
        <w:tab/>
      </w:r>
      <w:r w:rsidRPr="00EF0118">
        <w:t>Re</w:t>
      </w:r>
      <w:r>
        <w:t xml:space="preserve">ad third time and sent to House </w:t>
      </w:r>
      <w:r w:rsidRPr="00EF0118">
        <w:t>(</w:t>
      </w:r>
      <w:hyperlink r:id="rId13" w:history="1">
        <w:r w:rsidRPr="002D64EE">
          <w:rPr>
            <w:rStyle w:val="Hyperlink"/>
          </w:rPr>
          <w:t>Senate Journal</w:t>
        </w:r>
        <w:r w:rsidRPr="002D64EE">
          <w:rPr>
            <w:rStyle w:val="Hyperlink"/>
          </w:rPr>
          <w:noBreakHyphen/>
          <w:t>page 24</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4/14/2015</w:t>
      </w:r>
      <w:r>
        <w:tab/>
        <w:t>House</w:t>
      </w:r>
      <w:r>
        <w:tab/>
      </w:r>
      <w:r w:rsidRPr="00EF0118">
        <w:t>Introduced and read first time (</w:t>
      </w:r>
      <w:hyperlink r:id="rId14" w:history="1">
        <w:r w:rsidRPr="002D64EE">
          <w:rPr>
            <w:rStyle w:val="Hyperlink"/>
          </w:rPr>
          <w:t>House Journal</w:t>
        </w:r>
        <w:r w:rsidRPr="002D64EE">
          <w:rPr>
            <w:rStyle w:val="Hyperlink"/>
          </w:rPr>
          <w:noBreakHyphen/>
          <w:t>page 33</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4/14/2015</w:t>
      </w:r>
      <w:r>
        <w:tab/>
        <w:t>House</w:t>
      </w:r>
      <w:r>
        <w:tab/>
      </w:r>
      <w:r w:rsidRPr="00EF0118">
        <w:t>Referred</w:t>
      </w:r>
      <w:r>
        <w:t xml:space="preserve"> to Committee on </w:t>
      </w:r>
      <w:r w:rsidRPr="00EF0118">
        <w:rPr>
          <w:b/>
        </w:rPr>
        <w:t>Ways and Means</w:t>
      </w:r>
      <w:r>
        <w:t xml:space="preserve"> </w:t>
      </w:r>
      <w:r w:rsidRPr="00EF0118">
        <w:t>(</w:t>
      </w:r>
      <w:hyperlink r:id="rId15" w:history="1">
        <w:r w:rsidRPr="002D64EE">
          <w:rPr>
            <w:rStyle w:val="Hyperlink"/>
          </w:rPr>
          <w:t>House Journal</w:t>
        </w:r>
        <w:r w:rsidRPr="002D64EE">
          <w:rPr>
            <w:rStyle w:val="Hyperlink"/>
          </w:rPr>
          <w:noBreakHyphen/>
          <w:t>page 33</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5/19/2016</w:t>
      </w:r>
      <w:r>
        <w:tab/>
        <w:t>House</w:t>
      </w:r>
      <w:r>
        <w:tab/>
      </w:r>
      <w:r w:rsidRPr="00EF0118">
        <w:t>Committee report</w:t>
      </w:r>
      <w:r>
        <w:t xml:space="preserve">: Favorable with amendment </w:t>
      </w:r>
      <w:r w:rsidRPr="00EF0118">
        <w:rPr>
          <w:b/>
        </w:rPr>
        <w:t>Ways and Means</w:t>
      </w:r>
      <w:r w:rsidRPr="00EF0118">
        <w:t xml:space="preserve"> (</w:t>
      </w:r>
      <w:hyperlink r:id="rId16" w:history="1">
        <w:r w:rsidRPr="002D64EE">
          <w:rPr>
            <w:rStyle w:val="Hyperlink"/>
          </w:rPr>
          <w:t>House Journal</w:t>
        </w:r>
        <w:r w:rsidRPr="002D64EE">
          <w:rPr>
            <w:rStyle w:val="Hyperlink"/>
          </w:rPr>
          <w:noBreakHyphen/>
          <w:t>page 105</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5/20/2016</w:t>
      </w:r>
      <w:r>
        <w:tab/>
      </w:r>
      <w:r>
        <w:tab/>
      </w:r>
      <w:r w:rsidRPr="00EF0118">
        <w:t>Scrivener's error corrected</w:t>
      </w:r>
    </w:p>
    <w:p w:rsidR="002E11DD" w:rsidRDefault="002E11DD" w:rsidP="002E11DD">
      <w:pPr>
        <w:widowControl w:val="0"/>
        <w:tabs>
          <w:tab w:val="right" w:pos="1008"/>
          <w:tab w:val="left" w:pos="1152"/>
          <w:tab w:val="left" w:pos="1872"/>
          <w:tab w:val="left" w:pos="9187"/>
        </w:tabs>
        <w:ind w:left="2088" w:hanging="2088"/>
        <w:jc w:val="left"/>
      </w:pPr>
      <w:r>
        <w:tab/>
        <w:t>5/25/2016</w:t>
      </w:r>
      <w:r>
        <w:tab/>
        <w:t>House</w:t>
      </w:r>
      <w:r>
        <w:tab/>
      </w:r>
      <w:r w:rsidRPr="00EF0118">
        <w:t>Amended (</w:t>
      </w:r>
      <w:hyperlink r:id="rId17" w:history="1">
        <w:r w:rsidRPr="002D64EE">
          <w:rPr>
            <w:rStyle w:val="Hyperlink"/>
          </w:rPr>
          <w:t>House Journal</w:t>
        </w:r>
        <w:r w:rsidRPr="002D64EE">
          <w:rPr>
            <w:rStyle w:val="Hyperlink"/>
          </w:rPr>
          <w:noBreakHyphen/>
          <w:t>page 28</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5/25/2016</w:t>
      </w:r>
      <w:r>
        <w:tab/>
        <w:t>House</w:t>
      </w:r>
      <w:r>
        <w:tab/>
      </w:r>
      <w:r w:rsidRPr="00EF0118">
        <w:t>Debate</w:t>
      </w:r>
      <w:r>
        <w:t xml:space="preserve"> adjourned until Tues., 5</w:t>
      </w:r>
      <w:r>
        <w:noBreakHyphen/>
        <w:t>31</w:t>
      </w:r>
      <w:r>
        <w:noBreakHyphen/>
        <w:t xml:space="preserve">16 </w:t>
      </w:r>
      <w:r w:rsidRPr="00EF0118">
        <w:t>(</w:t>
      </w:r>
      <w:hyperlink r:id="rId18" w:history="1">
        <w:r w:rsidRPr="002D64EE">
          <w:rPr>
            <w:rStyle w:val="Hyperlink"/>
          </w:rPr>
          <w:t>House Journal</w:t>
        </w:r>
        <w:r w:rsidRPr="002D64EE">
          <w:rPr>
            <w:rStyle w:val="Hyperlink"/>
          </w:rPr>
          <w:noBreakHyphen/>
          <w:t>page 28</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5/31/2016</w:t>
      </w:r>
      <w:r>
        <w:tab/>
        <w:t>House</w:t>
      </w:r>
      <w:r>
        <w:tab/>
      </w:r>
      <w:r w:rsidRPr="00EF0118">
        <w:t>Requests for deb</w:t>
      </w:r>
      <w:r>
        <w:t>ate</w:t>
      </w:r>
      <w:r>
        <w:noBreakHyphen/>
        <w:t>Rep(s). Hayes, Cobb</w:t>
      </w:r>
      <w:r>
        <w:noBreakHyphen/>
        <w:t xml:space="preserve">Hunter, </w:t>
      </w:r>
      <w:r w:rsidRPr="00EF0118">
        <w:t>King, Daning,</w:t>
      </w:r>
      <w:r>
        <w:t xml:space="preserve"> Hart, Henengan, Bales, Ott, GR </w:t>
      </w:r>
      <w:r w:rsidRPr="00EF0118">
        <w:t>Smith, Cly</w:t>
      </w:r>
      <w:r>
        <w:t xml:space="preserve">burn, Kirby, Anderson, Whipper, </w:t>
      </w:r>
      <w:r w:rsidRPr="00EF0118">
        <w:t>Williams (</w:t>
      </w:r>
      <w:hyperlink r:id="rId19" w:history="1">
        <w:r w:rsidRPr="002D64EE">
          <w:rPr>
            <w:rStyle w:val="Hyperlink"/>
          </w:rPr>
          <w:t>House Journal</w:t>
        </w:r>
        <w:r w:rsidRPr="002D64EE">
          <w:rPr>
            <w:rStyle w:val="Hyperlink"/>
          </w:rPr>
          <w:noBreakHyphen/>
          <w:t>page 10</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5/31/2016</w:t>
      </w:r>
      <w:r>
        <w:tab/>
        <w:t>House</w:t>
      </w:r>
      <w:r>
        <w:tab/>
      </w:r>
      <w:r w:rsidRPr="00EF0118">
        <w:t>Read second time (</w:t>
      </w:r>
      <w:hyperlink r:id="rId20" w:history="1">
        <w:r w:rsidRPr="002D64EE">
          <w:rPr>
            <w:rStyle w:val="Hyperlink"/>
          </w:rPr>
          <w:t>House Journal</w:t>
        </w:r>
        <w:r w:rsidRPr="002D64EE">
          <w:rPr>
            <w:rStyle w:val="Hyperlink"/>
          </w:rPr>
          <w:noBreakHyphen/>
          <w:t>page 48</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5/31/2016</w:t>
      </w:r>
      <w:r>
        <w:tab/>
        <w:t>House</w:t>
      </w:r>
      <w:r>
        <w:tab/>
      </w:r>
      <w:r w:rsidRPr="00EF0118">
        <w:t>Roll call Yeas</w:t>
      </w:r>
      <w:r>
        <w:noBreakHyphen/>
      </w:r>
      <w:r w:rsidRPr="00EF0118">
        <w:t>100  Nays</w:t>
      </w:r>
      <w:r>
        <w:noBreakHyphen/>
      </w:r>
      <w:r w:rsidRPr="00EF0118">
        <w:t>2 (</w:t>
      </w:r>
      <w:hyperlink r:id="rId21" w:history="1">
        <w:r w:rsidRPr="002D64EE">
          <w:rPr>
            <w:rStyle w:val="Hyperlink"/>
          </w:rPr>
          <w:t>House Journal</w:t>
        </w:r>
        <w:r w:rsidRPr="002D64EE">
          <w:rPr>
            <w:rStyle w:val="Hyperlink"/>
          </w:rPr>
          <w:noBreakHyphen/>
          <w:t>page 48</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r>
        <w:tab/>
        <w:t>6/1/2016</w:t>
      </w:r>
      <w:r>
        <w:tab/>
        <w:t>House</w:t>
      </w:r>
      <w:r>
        <w:tab/>
      </w:r>
      <w:r w:rsidRPr="00EF0118">
        <w:t>Read third t</w:t>
      </w:r>
      <w:r>
        <w:t xml:space="preserve">ime and returned to Senate with </w:t>
      </w:r>
      <w:r w:rsidRPr="00EF0118">
        <w:t>amendments (</w:t>
      </w:r>
      <w:hyperlink r:id="rId22" w:history="1">
        <w:r w:rsidRPr="002D64EE">
          <w:rPr>
            <w:rStyle w:val="Hyperlink"/>
          </w:rPr>
          <w:t>House Journal</w:t>
        </w:r>
        <w:r w:rsidRPr="002D64EE">
          <w:rPr>
            <w:rStyle w:val="Hyperlink"/>
          </w:rPr>
          <w:noBreakHyphen/>
          <w:t>page 99</w:t>
        </w:r>
      </w:hyperlink>
      <w:r w:rsidRPr="00EF0118">
        <w:t>)</w:t>
      </w:r>
    </w:p>
    <w:p w:rsidR="002E11DD" w:rsidRDefault="002E11DD" w:rsidP="002E11DD">
      <w:pPr>
        <w:widowControl w:val="0"/>
        <w:tabs>
          <w:tab w:val="right" w:pos="1008"/>
          <w:tab w:val="left" w:pos="1152"/>
          <w:tab w:val="left" w:pos="1872"/>
          <w:tab w:val="left" w:pos="9187"/>
        </w:tabs>
        <w:ind w:left="2088" w:hanging="2088"/>
        <w:jc w:val="left"/>
      </w:pPr>
    </w:p>
    <w:p w:rsidR="00324C07" w:rsidRDefault="00324C07" w:rsidP="00324C07">
      <w:pPr>
        <w:widowControl w:val="0"/>
        <w:tabs>
          <w:tab w:val="right" w:pos="1008"/>
          <w:tab w:val="left" w:pos="1152"/>
          <w:tab w:val="left" w:pos="1872"/>
          <w:tab w:val="left" w:pos="9187"/>
        </w:tabs>
        <w:ind w:left="2088" w:hanging="2088"/>
        <w:jc w:val="left"/>
      </w:pPr>
      <w:r>
        <w:t xml:space="preserve">View the latest </w:t>
      </w:r>
      <w:hyperlink r:id="rId23" w:history="1">
        <w:r w:rsidRPr="00324C07">
          <w:rPr>
            <w:rStyle w:val="Hyperlink"/>
          </w:rPr>
          <w:t>legislative information</w:t>
        </w:r>
      </w:hyperlink>
      <w:r>
        <w:t xml:space="preserve"> at the website</w:t>
      </w:r>
    </w:p>
    <w:p w:rsidR="00324C07" w:rsidRDefault="00324C07" w:rsidP="00324C07">
      <w:pPr>
        <w:widowControl w:val="0"/>
        <w:tabs>
          <w:tab w:val="right" w:pos="1008"/>
          <w:tab w:val="left" w:pos="1152"/>
          <w:tab w:val="left" w:pos="1872"/>
          <w:tab w:val="left" w:pos="9187"/>
        </w:tabs>
        <w:ind w:left="2088" w:hanging="2088"/>
        <w:jc w:val="left"/>
      </w:pPr>
    </w:p>
    <w:p w:rsidR="00324C07" w:rsidRPr="00324C07" w:rsidRDefault="00324C07" w:rsidP="00324C07">
      <w:pPr>
        <w:widowControl w:val="0"/>
        <w:tabs>
          <w:tab w:val="right" w:pos="1008"/>
          <w:tab w:val="left" w:pos="1152"/>
          <w:tab w:val="left" w:pos="1872"/>
          <w:tab w:val="left" w:pos="9187"/>
        </w:tabs>
        <w:ind w:left="2088" w:hanging="2088"/>
        <w:jc w:val="left"/>
      </w:pPr>
    </w:p>
    <w:p w:rsidR="00324C07" w:rsidRDefault="00324C07" w:rsidP="00324C07">
      <w:pPr>
        <w:widowControl w:val="0"/>
        <w:jc w:val="left"/>
      </w:pPr>
      <w:r w:rsidRPr="00324C07">
        <w:rPr>
          <w:b/>
        </w:rPr>
        <w:t>VERSIONS OF THIS BILL</w:t>
      </w:r>
    </w:p>
    <w:p w:rsidR="00324C07" w:rsidRDefault="00324C07" w:rsidP="00324C07">
      <w:pPr>
        <w:widowControl w:val="0"/>
        <w:jc w:val="left"/>
      </w:pPr>
    </w:p>
    <w:p w:rsidR="00324C07" w:rsidRDefault="002D64EE" w:rsidP="00324C07">
      <w:pPr>
        <w:widowControl w:val="0"/>
        <w:jc w:val="left"/>
      </w:pPr>
      <w:hyperlink r:id="rId24" w:history="1">
        <w:r w:rsidR="00324C07">
          <w:rPr>
            <w:rStyle w:val="Hyperlink"/>
          </w:rPr>
          <w:t>2/17/2015</w:t>
        </w:r>
      </w:hyperlink>
    </w:p>
    <w:p w:rsidR="00324C07" w:rsidRDefault="002D64EE" w:rsidP="00324C07">
      <w:hyperlink r:id="rId25" w:history="1">
        <w:r w:rsidR="002F635A" w:rsidRPr="002F635A">
          <w:rPr>
            <w:rStyle w:val="Hyperlink"/>
          </w:rPr>
          <w:t>3/18/2015</w:t>
        </w:r>
      </w:hyperlink>
    </w:p>
    <w:p w:rsidR="002F635A" w:rsidRDefault="002D64EE" w:rsidP="00324C07">
      <w:hyperlink r:id="rId26" w:history="1">
        <w:r w:rsidR="00E351EC" w:rsidRPr="00E351EC">
          <w:rPr>
            <w:rStyle w:val="Hyperlink"/>
          </w:rPr>
          <w:t>3/24/2015</w:t>
        </w:r>
      </w:hyperlink>
    </w:p>
    <w:p w:rsidR="00E351EC" w:rsidRDefault="002D64EE" w:rsidP="00324C07">
      <w:hyperlink r:id="rId27" w:history="1">
        <w:r w:rsidR="003A4E46" w:rsidRPr="003A4E46">
          <w:rPr>
            <w:rStyle w:val="Hyperlink"/>
          </w:rPr>
          <w:t>5/19/2016</w:t>
        </w:r>
      </w:hyperlink>
    </w:p>
    <w:p w:rsidR="003A4E46" w:rsidRDefault="002D64EE" w:rsidP="00324C07">
      <w:hyperlink r:id="rId28" w:history="1">
        <w:r w:rsidR="001E54F2" w:rsidRPr="001E54F2">
          <w:rPr>
            <w:rStyle w:val="Hyperlink"/>
          </w:rPr>
          <w:t>5/20/2016</w:t>
        </w:r>
      </w:hyperlink>
    </w:p>
    <w:p w:rsidR="001E54F2" w:rsidRDefault="002D64EE" w:rsidP="00324C07">
      <w:hyperlink r:id="rId29" w:history="1">
        <w:r w:rsidR="003929B7" w:rsidRPr="003929B7">
          <w:rPr>
            <w:rStyle w:val="Hyperlink"/>
          </w:rPr>
          <w:t>5/25/2016</w:t>
        </w:r>
      </w:hyperlink>
    </w:p>
    <w:p w:rsidR="003929B7" w:rsidRDefault="002D64EE" w:rsidP="00324C07">
      <w:hyperlink r:id="rId30" w:history="1">
        <w:r w:rsidR="00F34936" w:rsidRPr="00F34936">
          <w:rPr>
            <w:rStyle w:val="Hyperlink"/>
          </w:rPr>
          <w:t>5/31/2016</w:t>
        </w:r>
      </w:hyperlink>
    </w:p>
    <w:p w:rsidR="00F34936" w:rsidRDefault="00F34936" w:rsidP="00324C07"/>
    <w:p w:rsidR="00324C07" w:rsidRDefault="00324C07" w:rsidP="00324C07">
      <w:pPr>
        <w:sectPr w:rsidR="00324C07" w:rsidSect="00324C07">
          <w:pgSz w:w="12240" w:h="15840" w:code="1"/>
          <w:pgMar w:top="1080" w:right="1440" w:bottom="1080" w:left="1440" w:header="720" w:footer="720" w:gutter="0"/>
          <w:cols w:space="720"/>
          <w:noEndnote/>
          <w:docGrid w:linePitch="360"/>
        </w:sectPr>
      </w:pP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2016</w:t>
      </w: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Pr="004E1A5F" w:rsidRDefault="00F34936" w:rsidP="004E1A5F">
      <w:pPr>
        <w:tabs>
          <w:tab w:val="right" w:pos="5933"/>
        </w:tabs>
        <w:suppressAutoHyphens/>
      </w:pPr>
      <w:r>
        <w:tab/>
      </w:r>
      <w:r>
        <w:rPr>
          <w:b/>
          <w:sz w:val="36"/>
        </w:rPr>
        <w:t>S. 460</w:t>
      </w: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4E1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6AB0">
        <w:t>Senator Campsen</w:t>
      </w: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5/31/16--H.</w:t>
      </w: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F34936" w:rsidRPr="004E1A5F" w:rsidRDefault="00F34936" w:rsidP="004E1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4936" w:rsidSect="00516956">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Pr="00325348" w:rsidRDefault="00F34936" w:rsidP="00DA4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34936" w:rsidRDefault="00F3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54EC">
        <w:rPr>
          <w:color w:val="000000" w:themeColor="text1"/>
          <w:u w:color="000000" w:themeColor="text1"/>
        </w:rPr>
        <w:t>TO AMEND THE CODE OF LAWS OF SOUTH CAROLINA, 1976, BY ADDING 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 xml:space="preserve">370 </w:t>
      </w:r>
      <w:r>
        <w:rPr>
          <w:color w:val="000000" w:themeColor="text1"/>
          <w:u w:color="000000" w:themeColor="text1"/>
        </w:rPr>
        <w:t xml:space="preserve">SO AS </w:t>
      </w:r>
      <w:r w:rsidRPr="005254EC">
        <w:rPr>
          <w:color w:val="000000" w:themeColor="text1"/>
          <w:u w:color="000000" w:themeColor="text1"/>
        </w:rPr>
        <w:t xml:space="preserve">TO </w:t>
      </w:r>
      <w:r>
        <w:rPr>
          <w:color w:val="000000" w:themeColor="text1"/>
          <w:u w:color="000000" w:themeColor="text1"/>
        </w:rPr>
        <w:t>PROVIDE THAT</w:t>
      </w:r>
      <w:r w:rsidRPr="005254EC">
        <w:rPr>
          <w:color w:val="000000" w:themeColor="text1"/>
          <w:u w:color="000000" w:themeColor="text1"/>
        </w:rPr>
        <w:t xml:space="preserve"> A COUNTY IN THIS STATE </w:t>
      </w:r>
      <w:r>
        <w:rPr>
          <w:color w:val="000000" w:themeColor="text1"/>
          <w:u w:color="000000" w:themeColor="text1"/>
        </w:rPr>
        <w:t>MAY</w:t>
      </w:r>
      <w:r w:rsidRPr="005254EC">
        <w:rPr>
          <w:color w:val="000000" w:themeColor="text1"/>
          <w:u w:color="000000" w:themeColor="text1"/>
        </w:rPr>
        <w:t xml:space="preserve"> ALLOW A TAXPAYER THE OPTION TO RECEIVE </w:t>
      </w:r>
      <w:r>
        <w:rPr>
          <w:color w:val="000000" w:themeColor="text1"/>
          <w:u w:color="000000" w:themeColor="text1"/>
        </w:rPr>
        <w:t>CERTAIN</w:t>
      </w:r>
      <w:r w:rsidRPr="005254EC">
        <w:rPr>
          <w:color w:val="000000" w:themeColor="text1"/>
          <w:u w:color="000000" w:themeColor="text1"/>
        </w:rPr>
        <w:t xml:space="preserve"> </w:t>
      </w:r>
      <w:r>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BILLS AND RECEIPTS</w:t>
      </w:r>
      <w:r w:rsidRPr="005254EC">
        <w:rPr>
          <w:color w:val="000000" w:themeColor="text1"/>
          <w:u w:color="000000" w:themeColor="text1"/>
        </w:rPr>
        <w:t xml:space="preserve"> IN ELECTRONIC FORM</w:t>
      </w:r>
      <w:r>
        <w:rPr>
          <w:color w:val="000000" w:themeColor="text1"/>
          <w:u w:color="000000" w:themeColor="text1"/>
        </w:rPr>
        <w:t>, TO REQUIRE A PARTICIPATING COUNTY TO MAINTAIN PROOF THAT AN EMAIL WAS SENT TO A TAX PAYER, AND TO REQUIRE A PARTICIPATING COUNTY TO CREATE AN APPLICATION PROCESS AND TO PUBLISH THE APPLICATION PROCESS.</w:t>
      </w:r>
    </w:p>
    <w:p w:rsidR="00F34936" w:rsidRDefault="00F3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34936" w:rsidRDefault="00F3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936" w:rsidRDefault="00F3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Pr="005254EC" w:rsidRDefault="00F34936"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254EC">
        <w:rPr>
          <w:color w:val="000000" w:themeColor="text1"/>
          <w:u w:color="000000" w:themeColor="text1"/>
        </w:rPr>
        <w:t>Article 3, Chapter 43, Title 12 of the 1976 Code is amended by adding:</w:t>
      </w:r>
    </w:p>
    <w:p w:rsidR="00F34936" w:rsidRPr="005254EC" w:rsidRDefault="00F34936"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936" w:rsidRDefault="00F34936"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254EC">
        <w:rPr>
          <w:color w:val="000000" w:themeColor="text1"/>
          <w:u w:color="000000" w:themeColor="text1"/>
        </w:rPr>
        <w:t>“Section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370.</w:t>
      </w:r>
      <w:r>
        <w:rPr>
          <w:color w:val="000000" w:themeColor="text1"/>
          <w:u w:color="000000" w:themeColor="text1"/>
        </w:rPr>
        <w:tab/>
        <w:t>(A)</w:t>
      </w:r>
      <w:r>
        <w:rPr>
          <w:color w:val="000000" w:themeColor="text1"/>
          <w:u w:color="000000" w:themeColor="text1"/>
        </w:rPr>
        <w:tab/>
        <w:t xml:space="preserve">A county may allow a taxpayer to elect to receive his property tax bill and receipt in electronic form, and if the taxpayer makes the election, the county shall email the property tax bill and receipt each year unless the taxpayer elects to no longer obtain his bill and receipt electronically.  </w:t>
      </w:r>
      <w:r w:rsidRPr="005254EC">
        <w:rPr>
          <w:color w:val="000000" w:themeColor="text1"/>
          <w:u w:color="000000" w:themeColor="text1"/>
        </w:rPr>
        <w:t xml:space="preserve">The date the </w:t>
      </w:r>
      <w:r>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w:t>
      </w:r>
      <w:r w:rsidRPr="005254EC">
        <w:rPr>
          <w:color w:val="000000" w:themeColor="text1"/>
          <w:u w:color="000000" w:themeColor="text1"/>
        </w:rPr>
        <w:t xml:space="preserve"> </w:t>
      </w:r>
      <w:r>
        <w:rPr>
          <w:color w:val="000000" w:themeColor="text1"/>
          <w:u w:color="000000" w:themeColor="text1"/>
        </w:rPr>
        <w:t>or receipt is</w:t>
      </w:r>
      <w:r w:rsidRPr="005254EC">
        <w:rPr>
          <w:color w:val="000000" w:themeColor="text1"/>
          <w:u w:color="000000" w:themeColor="text1"/>
        </w:rPr>
        <w:t xml:space="preserve"> sent </w:t>
      </w:r>
      <w:r>
        <w:rPr>
          <w:color w:val="000000" w:themeColor="text1"/>
          <w:u w:color="000000" w:themeColor="text1"/>
        </w:rPr>
        <w:t>electronically</w:t>
      </w:r>
      <w:r w:rsidRPr="005254EC">
        <w:rPr>
          <w:color w:val="000000" w:themeColor="text1"/>
          <w:u w:color="000000" w:themeColor="text1"/>
        </w:rPr>
        <w:t xml:space="preserve"> is considered the date the </w:t>
      </w:r>
      <w:r>
        <w:rPr>
          <w:color w:val="000000" w:themeColor="text1"/>
          <w:u w:color="000000" w:themeColor="text1"/>
        </w:rPr>
        <w:t>bill</w:t>
      </w:r>
      <w:r w:rsidRPr="005254EC">
        <w:rPr>
          <w:color w:val="000000" w:themeColor="text1"/>
          <w:u w:color="000000" w:themeColor="text1"/>
        </w:rPr>
        <w:t xml:space="preserve"> </w:t>
      </w:r>
      <w:r>
        <w:rPr>
          <w:color w:val="000000" w:themeColor="text1"/>
          <w:u w:color="000000" w:themeColor="text1"/>
        </w:rPr>
        <w:t>or receipt is</w:t>
      </w:r>
      <w:r w:rsidRPr="005254EC">
        <w:rPr>
          <w:color w:val="000000" w:themeColor="text1"/>
          <w:u w:color="000000" w:themeColor="text1"/>
        </w:rPr>
        <w:t xml:space="preserve"> mailed.</w:t>
      </w:r>
      <w:r>
        <w:rPr>
          <w:color w:val="000000" w:themeColor="text1"/>
          <w:u w:color="000000" w:themeColor="text1"/>
        </w:rPr>
        <w:t xml:space="preserve">  Each county may determine to which classes of property this section applies.  The county shall maintain a record of the taxpayer’s election to participate and retain the date of the electronic transmission of the property tax bill or receipt as proof they were sent.  This section does not apply to delinquent notices.</w:t>
      </w:r>
    </w:p>
    <w:p w:rsidR="00F34936" w:rsidRDefault="00F34936"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(B)</w:t>
      </w:r>
      <w:r>
        <w:rPr>
          <w:snapToGrid w:val="0"/>
        </w:rPr>
        <w:tab/>
      </w:r>
      <w:r>
        <w:rPr>
          <w:color w:val="000000" w:themeColor="text1"/>
          <w:u w:color="000000" w:themeColor="text1"/>
        </w:rPr>
        <w:t xml:space="preserve">Each county electing to utilize the provisions of this section shall create an application process to allow a taxpayer to submit his email address to the county.  A county electing to utilize the provisions of this section shall advertise the application process for two weeks in a newspaper printed and circulated in the county and may publish the application process on the county’s website or on the property tax bill.” </w:t>
      </w:r>
    </w:p>
    <w:p w:rsidR="00F34936" w:rsidRDefault="00F34936"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936"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A.</w:t>
      </w:r>
      <w:r>
        <w:rPr>
          <w:u w:color="000000" w:themeColor="text1"/>
        </w:rPr>
        <w:tab/>
      </w:r>
      <w:r>
        <w:rPr>
          <w:u w:color="000000" w:themeColor="text1"/>
        </w:rPr>
        <w:tab/>
      </w:r>
      <w:r w:rsidRPr="00FD4D01">
        <w:rPr>
          <w:u w:color="000000" w:themeColor="text1"/>
        </w:rPr>
        <w:t>Article 3, Chapter 43, Title 12 of the 1976 Code is amended by adding:</w:t>
      </w:r>
    </w:p>
    <w:p w:rsidR="00F34936" w:rsidRPr="00FD4D01"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4936" w:rsidRPr="00FD4D01"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“Section 12</w:t>
      </w:r>
      <w:r w:rsidRPr="00FD4D01">
        <w:rPr>
          <w:u w:color="000000" w:themeColor="text1"/>
        </w:rPr>
        <w:noBreakHyphen/>
        <w:t>43</w:t>
      </w:r>
      <w:r w:rsidRPr="00FD4D01">
        <w:rPr>
          <w:u w:color="000000" w:themeColor="text1"/>
        </w:rPr>
        <w:noBreakHyphen/>
        <w:t>235.</w:t>
      </w:r>
      <w:r w:rsidRPr="00FD4D01">
        <w:rPr>
          <w:u w:color="000000" w:themeColor="text1"/>
        </w:rPr>
        <w:tab/>
        <w:t>(A)</w:t>
      </w:r>
      <w:r w:rsidRPr="00FD4D01">
        <w:rPr>
          <w:u w:color="000000" w:themeColor="text1"/>
        </w:rPr>
        <w:tab/>
        <w:t>Notwithstanding any other provision of law, if agricultural real property being assessed pursuant to Section 12</w:t>
      </w:r>
      <w:r w:rsidRPr="00FD4D01">
        <w:rPr>
          <w:u w:color="000000" w:themeColor="text1"/>
        </w:rPr>
        <w:noBreakHyphen/>
        <w:t>43</w:t>
      </w:r>
      <w:r w:rsidRPr="00FD4D01">
        <w:rPr>
          <w:u w:color="000000" w:themeColor="text1"/>
        </w:rPr>
        <w:noBreakHyphen/>
        <w:t>220(d), is transferred to another person, and the new owner certifies that the use of the property will not change, then the certification is considered to be an application for the assessment pursuant to Section 12</w:t>
      </w:r>
      <w:r w:rsidRPr="00FD4D01">
        <w:rPr>
          <w:u w:color="000000" w:themeColor="text1"/>
        </w:rPr>
        <w:noBreakHyphen/>
        <w:t>43</w:t>
      </w:r>
      <w:r w:rsidRPr="00FD4D01">
        <w:rPr>
          <w:u w:color="000000" w:themeColor="text1"/>
        </w:rPr>
        <w:noBreakHyphen/>
        <w:t>220(d), and the property must continue to be assessed pursuant to Section 12</w:t>
      </w:r>
      <w:r w:rsidRPr="00FD4D01">
        <w:rPr>
          <w:u w:color="000000" w:themeColor="text1"/>
        </w:rPr>
        <w:noBreakHyphen/>
        <w:t>43</w:t>
      </w:r>
      <w:r w:rsidRPr="00FD4D01">
        <w:rPr>
          <w:u w:color="000000" w:themeColor="text1"/>
        </w:rPr>
        <w:noBreakHyphen/>
        <w:t>220(d), unless the property does not otherwise qualify.</w:t>
      </w:r>
    </w:p>
    <w:p w:rsidR="00F34936" w:rsidRPr="00FD4D01"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(B)</w:t>
      </w:r>
      <w:r w:rsidRPr="00FD4D01">
        <w:rPr>
          <w:u w:color="000000" w:themeColor="text1"/>
        </w:rPr>
        <w:tab/>
        <w:t>The assessor of each county shall develop a form by which a person may make a certification pursuant to subsection (A).</w:t>
      </w:r>
    </w:p>
    <w:p w:rsidR="00F34936" w:rsidRPr="00FD4D01"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(C)(1)</w:t>
      </w:r>
      <w:r w:rsidRPr="00FD4D01">
        <w:rPr>
          <w:u w:color="000000" w:themeColor="text1"/>
        </w:rPr>
        <w:tab/>
        <w:t>If agricultural real property is sold or is conveyed in a manner in which an attorney is required by law to close the transaction, the closing attorney must provide the new owner with the certification form developed pursuant to subsection (B), and the new owner must sign an acknowledgement declaring receipt of the certification form.</w:t>
      </w:r>
    </w:p>
    <w:p w:rsidR="00F34936" w:rsidRPr="00FD4D01"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r>
      <w:r w:rsidRPr="00FD4D01">
        <w:rPr>
          <w:u w:color="000000" w:themeColor="text1"/>
        </w:rPr>
        <w:tab/>
        <w:t xml:space="preserve">(2) </w:t>
      </w:r>
      <w:r w:rsidRPr="00FD4D01">
        <w:rPr>
          <w:u w:color="000000" w:themeColor="text1"/>
        </w:rPr>
        <w:tab/>
        <w:t>If agricultural real property is transferred by a deed of distribution or through any other method of probate, before closing the estate, the probate court must provide the new personal representative with the certification form developed pursuant to subsection (B), and the new personal representative must sign an acknowledgement declaring receipt of the certification form.</w:t>
      </w:r>
    </w:p>
    <w:p w:rsidR="00F34936" w:rsidRPr="00FD4D01"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(D)</w:t>
      </w:r>
      <w:r w:rsidRPr="00FD4D01">
        <w:rPr>
          <w:u w:color="000000" w:themeColor="text1"/>
        </w:rPr>
        <w:tab/>
        <w:t>If the assessor does not receive a signed certification form from the new owner within sixty days of the transfer, the assessor must notify the new owner of the impending change in assessment ratio unless the new owner makes the certification pursuant to subsection (A), or otherwise applies to be assessed pursuant to Section 12</w:t>
      </w:r>
      <w:r w:rsidRPr="00FD4D01">
        <w:rPr>
          <w:u w:color="000000" w:themeColor="text1"/>
        </w:rPr>
        <w:noBreakHyphen/>
        <w:t>43</w:t>
      </w:r>
      <w:r w:rsidRPr="00FD4D01">
        <w:rPr>
          <w:u w:color="000000" w:themeColor="text1"/>
        </w:rPr>
        <w:noBreakHyphen/>
        <w:t>220(d).  This notification must include the certification form and information regarding the manner in which a person may apply to be assessed pursuant to Section 12</w:t>
      </w:r>
      <w:r w:rsidRPr="00FD4D01">
        <w:rPr>
          <w:u w:color="000000" w:themeColor="text1"/>
        </w:rPr>
        <w:noBreakHyphen/>
        <w:t>43</w:t>
      </w:r>
      <w:r w:rsidRPr="00FD4D01">
        <w:rPr>
          <w:u w:color="000000" w:themeColor="text1"/>
        </w:rPr>
        <w:noBreakHyphen/>
        <w:t>220(d).  If the assessor does not receive a response from the new owner within thirty days of initially notifying the new owner, the assessor must notify the new owner again in the same manner.”</w:t>
      </w:r>
    </w:p>
    <w:p w:rsidR="00F34936"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B.</w:t>
      </w:r>
      <w:r w:rsidRPr="00FD4D01">
        <w:rPr>
          <w:u w:color="000000" w:themeColor="text1"/>
        </w:rPr>
        <w:tab/>
      </w:r>
      <w:r>
        <w:rPr>
          <w:u w:color="000000" w:themeColor="text1"/>
        </w:rPr>
        <w:tab/>
      </w:r>
      <w:r w:rsidRPr="00FD4D01">
        <w:rPr>
          <w:u w:color="000000" w:themeColor="text1"/>
        </w:rPr>
        <w:t xml:space="preserve">This section takes effect upon approval by the Governor and applies to property tax years beginning after 2015. </w:t>
      </w:r>
    </w:p>
    <w:p w:rsidR="00F34936" w:rsidRPr="00FD4D01"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4936"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Pr="00FD4D01">
        <w:rPr>
          <w:u w:color="000000" w:themeColor="text1"/>
        </w:rPr>
        <w:t>.</w:t>
      </w:r>
      <w:r w:rsidRPr="00FD4D01">
        <w:rPr>
          <w:u w:color="000000" w:themeColor="text1"/>
        </w:rPr>
        <w:tab/>
        <w:t>A.</w:t>
      </w:r>
      <w:r>
        <w:rPr>
          <w:u w:color="000000" w:themeColor="text1"/>
        </w:rPr>
        <w:tab/>
      </w:r>
      <w:r w:rsidRPr="00FD4D01">
        <w:rPr>
          <w:u w:color="000000" w:themeColor="text1"/>
        </w:rPr>
        <w:tab/>
        <w:t>Section 12</w:t>
      </w:r>
      <w:r w:rsidRPr="00FD4D01">
        <w:rPr>
          <w:u w:color="000000" w:themeColor="text1"/>
        </w:rPr>
        <w:noBreakHyphen/>
        <w:t>54</w:t>
      </w:r>
      <w:r w:rsidRPr="00FD4D01">
        <w:rPr>
          <w:u w:color="000000" w:themeColor="text1"/>
        </w:rPr>
        <w:noBreakHyphen/>
        <w:t>122(G) of the 1976 Code is amended by adding an appropriately numbered item at the end to read:</w:t>
      </w:r>
    </w:p>
    <w:p w:rsidR="00F34936" w:rsidRPr="00FD4D01"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4936" w:rsidRPr="00FD4D01"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  )</w:t>
      </w:r>
      <w:r w:rsidRPr="00FD4D01">
        <w:rPr>
          <w:u w:color="000000" w:themeColor="text1"/>
        </w:rPr>
        <w:tab/>
        <w:t>Instead of the filing of the tax lien notice pursuant to item (1), the department may implement a system of filing and indexing liens which must be accessible to the public over the Internet or through other means as the department considers appropriate.  The liens filed pursuant to this item are effective statewide from the date and time they are recorded and encumber all the taxpayer’s property and rights to property as provided in Section 12</w:t>
      </w:r>
      <w:r w:rsidRPr="00FD4D01">
        <w:rPr>
          <w:u w:color="000000" w:themeColor="text1"/>
        </w:rPr>
        <w:noBreakHyphen/>
        <w:t>54</w:t>
      </w:r>
      <w:r w:rsidRPr="00FD4D01">
        <w:rPr>
          <w:u w:color="000000" w:themeColor="text1"/>
        </w:rPr>
        <w:noBreakHyphen/>
        <w:t>120, regardless of the property’s location.  Liens filed under item (1) continue to be effective from the date and time they were recorded.  Nothing in this item may be construed so as to extend the effectiveness of the lien beyond ten years from the date of filing, as provided in Section 12</w:t>
      </w:r>
      <w:r w:rsidRPr="00FD4D01">
        <w:rPr>
          <w:u w:color="000000" w:themeColor="text1"/>
        </w:rPr>
        <w:noBreakHyphen/>
        <w:t>54</w:t>
      </w:r>
      <w:r w:rsidRPr="00FD4D01">
        <w:rPr>
          <w:u w:color="000000" w:themeColor="text1"/>
        </w:rPr>
        <w:noBreakHyphen/>
        <w:t>120.”</w:t>
      </w:r>
    </w:p>
    <w:p w:rsidR="00F34936"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4936" w:rsidRDefault="00F34936" w:rsidP="006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4D01">
        <w:rPr>
          <w:u w:color="000000" w:themeColor="text1"/>
        </w:rPr>
        <w:t>B.</w:t>
      </w:r>
      <w:r>
        <w:rPr>
          <w:u w:color="000000" w:themeColor="text1"/>
        </w:rPr>
        <w:tab/>
      </w:r>
      <w:r w:rsidRPr="00FD4D01">
        <w:rPr>
          <w:u w:color="000000" w:themeColor="text1"/>
        </w:rPr>
        <w:tab/>
        <w:t>This section takes effect July 1, 2016.</w:t>
      </w:r>
    </w:p>
    <w:p w:rsidR="00F34936" w:rsidRDefault="00F3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936" w:rsidRDefault="00F3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34936" w:rsidRDefault="00F349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4C07" w:rsidRDefault="00324C07" w:rsidP="00F34936">
      <w:pPr>
        <w:tabs>
          <w:tab w:val="right" w:pos="5933"/>
        </w:tabs>
        <w:suppressAutoHyphens/>
      </w:pPr>
    </w:p>
    <w:sectPr w:rsidR="00324C07" w:rsidSect="00516956">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9BD" w:rsidRDefault="00CA59BD" w:rsidP="009F0C77">
      <w:r>
        <w:separator/>
      </w:r>
    </w:p>
  </w:endnote>
  <w:endnote w:type="continuationSeparator" w:id="0">
    <w:p w:rsidR="00CA59BD" w:rsidRDefault="00CA59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E3B466-BA2E-4170-BEB6-C30E4A452054}"/>
    <w:embedBold r:id="rId2" w:fontKey="{2996E364-326E-4754-9699-D3D06848C712}"/>
  </w:font>
  <w:font w:name="Calibri">
    <w:panose1 w:val="020F0502020204030204"/>
    <w:charset w:val="00"/>
    <w:family w:val="swiss"/>
    <w:pitch w:val="variable"/>
    <w:sig w:usb0="E00002FF" w:usb1="4000ACFF" w:usb2="00000001" w:usb3="00000000" w:csb0="0000019F" w:csb1="00000000"/>
    <w:embedRegular r:id="rId3" w:fontKey="{A4B059C4-73EF-4F7D-9814-4ACAB169ECB9}"/>
  </w:font>
  <w:font w:name="Segoe UI">
    <w:panose1 w:val="020B0502040204020203"/>
    <w:charset w:val="00"/>
    <w:family w:val="swiss"/>
    <w:pitch w:val="variable"/>
    <w:sig w:usb0="E10022FF" w:usb1="C000E47F" w:usb2="00000029" w:usb3="00000000" w:csb0="000001DF" w:csb1="00000000"/>
    <w:embedRegular r:id="rId4" w:fontKey="{08414ED4-7D68-4DD5-9082-2CC1FA15C8FF}"/>
  </w:font>
  <w:font w:name="Cambria">
    <w:panose1 w:val="02040503050406030204"/>
    <w:charset w:val="00"/>
    <w:family w:val="roman"/>
    <w:pitch w:val="variable"/>
    <w:sig w:usb0="E00002FF" w:usb1="400004FF" w:usb2="00000000" w:usb3="00000000" w:csb0="0000019F" w:csb1="00000000"/>
    <w:embedRegular r:id="rId5" w:fontKey="{1BF76F9D-7FCE-4D0C-BE51-3340782F9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936" w:rsidRPr="00DA49A3" w:rsidRDefault="00F34936" w:rsidP="00DA49A3">
    <w:pPr>
      <w:pStyle w:val="Footer"/>
      <w:tabs>
        <w:tab w:val="clear" w:pos="4680"/>
        <w:tab w:val="clear" w:pos="9360"/>
        <w:tab w:val="center" w:pos="2995"/>
      </w:tabs>
      <w:spacing w:before="120"/>
    </w:pPr>
    <w:r>
      <w:t>[460-</w:t>
    </w:r>
    <w:r>
      <w:fldChar w:fldCharType="begin"/>
    </w:r>
    <w:r>
      <w:instrText xml:space="preserve"> PAGE  \* MERGEFORMAT </w:instrText>
    </w:r>
    <w:r>
      <w:fldChar w:fldCharType="separate"/>
    </w:r>
    <w:r w:rsidR="002D64E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A5F" w:rsidRPr="00DA49A3" w:rsidRDefault="00F34936" w:rsidP="00DA49A3">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7265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9BD" w:rsidRDefault="00CA59BD" w:rsidP="009F0C77">
      <w:r>
        <w:separator/>
      </w:r>
    </w:p>
  </w:footnote>
  <w:footnote w:type="continuationSeparator" w:id="0">
    <w:p w:rsidR="00CA59BD" w:rsidRDefault="00CA59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6SA15"/>
    <w:docVar w:name="CoverBillType" w:val="b"/>
    <w:docVar w:name="docpath" w:val="L:\Council\bills\DKA\3066SA15.DOCX"/>
    <w:docVar w:name="dvBillNumber" w:val="460"/>
    <w:docVar w:name="dvBillNumberPrefix" w:val="S. "/>
    <w:docVar w:name="dvOriginalBody" w:val="Senate"/>
    <w:docVar w:name="dvSteno" w:val="DKA"/>
    <w:docVar w:name="NameofBody" w:val="s"/>
    <w:docVar w:name="vgroup2" w:val="Council"/>
  </w:docVars>
  <w:rsids>
    <w:rsidRoot w:val="00895BFF"/>
    <w:rsid w:val="00026C9A"/>
    <w:rsid w:val="000877D5"/>
    <w:rsid w:val="000965A1"/>
    <w:rsid w:val="000A05CA"/>
    <w:rsid w:val="000B682E"/>
    <w:rsid w:val="000E1785"/>
    <w:rsid w:val="000F39F2"/>
    <w:rsid w:val="001023A4"/>
    <w:rsid w:val="0010776B"/>
    <w:rsid w:val="00110B6E"/>
    <w:rsid w:val="00133E66"/>
    <w:rsid w:val="00134ACF"/>
    <w:rsid w:val="00136BEB"/>
    <w:rsid w:val="00144E15"/>
    <w:rsid w:val="001A4A62"/>
    <w:rsid w:val="001A681E"/>
    <w:rsid w:val="001D08F2"/>
    <w:rsid w:val="001E54F2"/>
    <w:rsid w:val="001F19A3"/>
    <w:rsid w:val="002037CA"/>
    <w:rsid w:val="002047A2"/>
    <w:rsid w:val="002321B6"/>
    <w:rsid w:val="0023696B"/>
    <w:rsid w:val="00250967"/>
    <w:rsid w:val="0026369D"/>
    <w:rsid w:val="002759C5"/>
    <w:rsid w:val="00277DEE"/>
    <w:rsid w:val="00280D88"/>
    <w:rsid w:val="002847CE"/>
    <w:rsid w:val="00294ABE"/>
    <w:rsid w:val="002A3EB4"/>
    <w:rsid w:val="002D64EE"/>
    <w:rsid w:val="002E093F"/>
    <w:rsid w:val="002E11DD"/>
    <w:rsid w:val="002E734D"/>
    <w:rsid w:val="002F635A"/>
    <w:rsid w:val="00324C07"/>
    <w:rsid w:val="00325348"/>
    <w:rsid w:val="003929B7"/>
    <w:rsid w:val="00393688"/>
    <w:rsid w:val="003A4E46"/>
    <w:rsid w:val="003D411E"/>
    <w:rsid w:val="003D6AC6"/>
    <w:rsid w:val="003E3C1E"/>
    <w:rsid w:val="003E6148"/>
    <w:rsid w:val="00400EAA"/>
    <w:rsid w:val="0041760A"/>
    <w:rsid w:val="004809EE"/>
    <w:rsid w:val="004B68B3"/>
    <w:rsid w:val="004D26DE"/>
    <w:rsid w:val="004E31D7"/>
    <w:rsid w:val="00511EE9"/>
    <w:rsid w:val="00521E00"/>
    <w:rsid w:val="0057472A"/>
    <w:rsid w:val="00577C6C"/>
    <w:rsid w:val="0058501B"/>
    <w:rsid w:val="005C05C7"/>
    <w:rsid w:val="0061228A"/>
    <w:rsid w:val="006215AA"/>
    <w:rsid w:val="00626713"/>
    <w:rsid w:val="006340D9"/>
    <w:rsid w:val="00643B8E"/>
    <w:rsid w:val="00665EBC"/>
    <w:rsid w:val="00666895"/>
    <w:rsid w:val="00691F04"/>
    <w:rsid w:val="0069470D"/>
    <w:rsid w:val="006A476C"/>
    <w:rsid w:val="006B094F"/>
    <w:rsid w:val="006C6A93"/>
    <w:rsid w:val="006E02F9"/>
    <w:rsid w:val="007265FF"/>
    <w:rsid w:val="00753C04"/>
    <w:rsid w:val="00756946"/>
    <w:rsid w:val="00757F80"/>
    <w:rsid w:val="00771EEC"/>
    <w:rsid w:val="00786819"/>
    <w:rsid w:val="007A325A"/>
    <w:rsid w:val="007F1523"/>
    <w:rsid w:val="007F509E"/>
    <w:rsid w:val="007F5799"/>
    <w:rsid w:val="007F6947"/>
    <w:rsid w:val="008310EC"/>
    <w:rsid w:val="00871901"/>
    <w:rsid w:val="00872729"/>
    <w:rsid w:val="00895BFF"/>
    <w:rsid w:val="008C5771"/>
    <w:rsid w:val="008F4429"/>
    <w:rsid w:val="00932670"/>
    <w:rsid w:val="009352BB"/>
    <w:rsid w:val="00940C30"/>
    <w:rsid w:val="009678EE"/>
    <w:rsid w:val="00990668"/>
    <w:rsid w:val="009B397B"/>
    <w:rsid w:val="009F0C77"/>
    <w:rsid w:val="009F4DD1"/>
    <w:rsid w:val="00A03147"/>
    <w:rsid w:val="00A536B9"/>
    <w:rsid w:val="00A64E80"/>
    <w:rsid w:val="00A67E8C"/>
    <w:rsid w:val="00A741D9"/>
    <w:rsid w:val="00A9741D"/>
    <w:rsid w:val="00AB0D47"/>
    <w:rsid w:val="00AD4B17"/>
    <w:rsid w:val="00AE6CDC"/>
    <w:rsid w:val="00B07D1D"/>
    <w:rsid w:val="00B2062A"/>
    <w:rsid w:val="00B26FA6"/>
    <w:rsid w:val="00B741CB"/>
    <w:rsid w:val="00B934F3"/>
    <w:rsid w:val="00BB6347"/>
    <w:rsid w:val="00BC6003"/>
    <w:rsid w:val="00BD2134"/>
    <w:rsid w:val="00C038D8"/>
    <w:rsid w:val="00C045DD"/>
    <w:rsid w:val="00C3136F"/>
    <w:rsid w:val="00C31571"/>
    <w:rsid w:val="00C3483A"/>
    <w:rsid w:val="00C74E9D"/>
    <w:rsid w:val="00C82FD3"/>
    <w:rsid w:val="00CA59BD"/>
    <w:rsid w:val="00CC6B7B"/>
    <w:rsid w:val="00CD3619"/>
    <w:rsid w:val="00CF4447"/>
    <w:rsid w:val="00D405E7"/>
    <w:rsid w:val="00D41D56"/>
    <w:rsid w:val="00D6260D"/>
    <w:rsid w:val="00D6662B"/>
    <w:rsid w:val="00D735E7"/>
    <w:rsid w:val="00D77D16"/>
    <w:rsid w:val="00D95E2F"/>
    <w:rsid w:val="00D970A9"/>
    <w:rsid w:val="00DA49A3"/>
    <w:rsid w:val="00DB3AC0"/>
    <w:rsid w:val="00DC6813"/>
    <w:rsid w:val="00DE68F0"/>
    <w:rsid w:val="00DF3845"/>
    <w:rsid w:val="00DF7E17"/>
    <w:rsid w:val="00E02F1C"/>
    <w:rsid w:val="00E03465"/>
    <w:rsid w:val="00E351EC"/>
    <w:rsid w:val="00E451C3"/>
    <w:rsid w:val="00E91C68"/>
    <w:rsid w:val="00EA32D3"/>
    <w:rsid w:val="00EB00A2"/>
    <w:rsid w:val="00EB1BF3"/>
    <w:rsid w:val="00EF3EEE"/>
    <w:rsid w:val="00F149A7"/>
    <w:rsid w:val="00F34936"/>
    <w:rsid w:val="00F50BAF"/>
    <w:rsid w:val="00F52C10"/>
    <w:rsid w:val="00F81FFD"/>
    <w:rsid w:val="00F85228"/>
    <w:rsid w:val="00FA067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1FAC1-F152-4E06-88B5-9507E704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1F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F04"/>
    <w:rPr>
      <w:rFonts w:ascii="Segoe UI" w:eastAsia="Times New Roman" w:hAnsi="Segoe UI" w:cs="Segoe UI"/>
      <w:sz w:val="18"/>
      <w:szCs w:val="18"/>
    </w:rPr>
  </w:style>
  <w:style w:type="character" w:styleId="Hyperlink">
    <w:name w:val="Hyperlink"/>
    <w:basedOn w:val="DefaultParagraphFont"/>
    <w:uiPriority w:val="99"/>
    <w:unhideWhenUsed/>
    <w:rsid w:val="00324C07"/>
    <w:rPr>
      <w:color w:val="0000FF" w:themeColor="hyperlink"/>
      <w:u w:val="single"/>
    </w:rPr>
  </w:style>
  <w:style w:type="paragraph" w:styleId="NoSpacing">
    <w:name w:val="No Spacing"/>
    <w:uiPriority w:val="1"/>
    <w:qFormat/>
    <w:rsid w:val="002F635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7-15.docx" TargetMode="External"/><Relationship Id="rId13" Type="http://schemas.openxmlformats.org/officeDocument/2006/relationships/hyperlink" Target="file:///h:\SJ%20Archive\2015\03-26-15.docx" TargetMode="External"/><Relationship Id="rId18" Type="http://schemas.openxmlformats.org/officeDocument/2006/relationships/hyperlink" Target="file:///h:\HJ%20Archive\2016\05-25-16.docx" TargetMode="External"/><Relationship Id="rId26" Type="http://schemas.openxmlformats.org/officeDocument/2006/relationships/hyperlink" Target="file:///p:\pprever\2015-16\460_20150324.docx" TargetMode="External"/><Relationship Id="rId3" Type="http://schemas.openxmlformats.org/officeDocument/2006/relationships/settings" Target="settings.xml"/><Relationship Id="rId21" Type="http://schemas.openxmlformats.org/officeDocument/2006/relationships/hyperlink" Target="file:///h:\HJ%20Archive\2016\05-31-16.docx" TargetMode="External"/><Relationship Id="rId34" Type="http://schemas.openxmlformats.org/officeDocument/2006/relationships/theme" Target="theme/theme1.xml"/><Relationship Id="rId7" Type="http://schemas.openxmlformats.org/officeDocument/2006/relationships/hyperlink" Target="file:///h:\SJ%20Archive\2015\02-17-15.docx" TargetMode="External"/><Relationship Id="rId12" Type="http://schemas.openxmlformats.org/officeDocument/2006/relationships/hyperlink" Target="file:///h:\SJ%20Archive\2015\03-24-15.docx" TargetMode="External"/><Relationship Id="rId17" Type="http://schemas.openxmlformats.org/officeDocument/2006/relationships/hyperlink" Target="file:///h:\HJ%20Archive\2016\05-25-16.docx" TargetMode="External"/><Relationship Id="rId25" Type="http://schemas.openxmlformats.org/officeDocument/2006/relationships/hyperlink" Target="file:///p:\pprever\2015-16\460_20150318.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6\05-19-16.docx" TargetMode="External"/><Relationship Id="rId20" Type="http://schemas.openxmlformats.org/officeDocument/2006/relationships/hyperlink" Target="file:///h:\HJ%20Archive\2016\05-31-16.docx" TargetMode="External"/><Relationship Id="rId29" Type="http://schemas.openxmlformats.org/officeDocument/2006/relationships/hyperlink" Target="file:///p:\pprever\2015-16\460_201605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24-15.docx" TargetMode="External"/><Relationship Id="rId24" Type="http://schemas.openxmlformats.org/officeDocument/2006/relationships/hyperlink" Target="file:///p:\pprever\2015-16\460_20150217.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5\04-14-15.docx" TargetMode="External"/><Relationship Id="rId23" Type="http://schemas.openxmlformats.org/officeDocument/2006/relationships/hyperlink" Target="http://www.scstatehouse.gov/billsearch.php?billnumbers=460&amp;session=121&amp;summary=B" TargetMode="External"/><Relationship Id="rId28" Type="http://schemas.openxmlformats.org/officeDocument/2006/relationships/hyperlink" Target="file:///p:\pprever\2015-16\460_20160520.docx" TargetMode="External"/><Relationship Id="rId10" Type="http://schemas.openxmlformats.org/officeDocument/2006/relationships/hyperlink" Target="file:///h:\SJ%20Archive\2015\03-24-15.docx" TargetMode="External"/><Relationship Id="rId19" Type="http://schemas.openxmlformats.org/officeDocument/2006/relationships/hyperlink" Target="file:///h:\HJ%20Archive\2016\05-31-16.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5\03-18-15.docx" TargetMode="External"/><Relationship Id="rId14" Type="http://schemas.openxmlformats.org/officeDocument/2006/relationships/hyperlink" Target="file:///h:\HJ%20Archive\2015\04-14-15.docx" TargetMode="External"/><Relationship Id="rId22" Type="http://schemas.openxmlformats.org/officeDocument/2006/relationships/hyperlink" Target="file:///h:\HJ%20Archive\2016\06-01-16.docx" TargetMode="External"/><Relationship Id="rId27" Type="http://schemas.openxmlformats.org/officeDocument/2006/relationships/hyperlink" Target="file:///p:\pprever\2015-16\460_20160519.docx" TargetMode="External"/><Relationship Id="rId30" Type="http://schemas.openxmlformats.org/officeDocument/2006/relationships/hyperlink" Target="file:///p:\pprever\2015-16\460_2016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9C48F-844E-4FF5-92CF-6405E39A8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1276</Words>
  <Characters>7275</Characters>
  <Application>Microsoft Office Word</Application>
  <DocSecurity>6</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460: Tax bills - South Carolina Legislature Online</dc:title>
  <dc:subject/>
  <dc:creator>sharonpair</dc:creator>
  <cp:keywords/>
  <dc:description/>
  <cp:lastModifiedBy>N Cumfer</cp:lastModifiedBy>
  <cp:revision>2</cp:revision>
  <cp:lastPrinted>2015-02-12T14:57:00Z</cp:lastPrinted>
  <dcterms:created xsi:type="dcterms:W3CDTF">2016-12-02T17:03:00Z</dcterms:created>
  <dcterms:modified xsi:type="dcterms:W3CDTF">2016-12-02T17:03:00Z</dcterms:modified>
</cp:coreProperties>
</file>