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037" w:rsidRDefault="00B02037" w:rsidP="00B02037">
      <w:pPr>
        <w:widowControl w:val="0"/>
        <w:jc w:val="center"/>
      </w:pPr>
      <w:bookmarkStart w:id="0" w:name="_GoBack"/>
      <w:bookmarkEnd w:id="0"/>
      <w:r w:rsidRPr="00B02037">
        <w:rPr>
          <w:b/>
        </w:rPr>
        <w:t>South Carolina General Assembly</w:t>
      </w:r>
    </w:p>
    <w:p w:rsidR="00B02037" w:rsidRDefault="00B02037" w:rsidP="00B02037">
      <w:pPr>
        <w:widowControl w:val="0"/>
        <w:jc w:val="center"/>
      </w:pPr>
      <w:r>
        <w:t>121st Session, 2015-2016</w:t>
      </w:r>
    </w:p>
    <w:p w:rsidR="00B02037" w:rsidRDefault="00B02037" w:rsidP="00B02037">
      <w:pPr>
        <w:widowControl w:val="0"/>
      </w:pPr>
    </w:p>
    <w:p w:rsidR="00B02037" w:rsidRDefault="00B02037" w:rsidP="00B02037">
      <w:pPr>
        <w:widowControl w:val="0"/>
        <w:rPr>
          <w:b/>
        </w:rPr>
      </w:pPr>
      <w:r w:rsidRPr="00B02037">
        <w:rPr>
          <w:b/>
        </w:rPr>
        <w:t>S.</w:t>
      </w:r>
      <w:r>
        <w:rPr>
          <w:b/>
        </w:rPr>
        <w:t xml:space="preserve"> </w:t>
      </w:r>
      <w:r w:rsidRPr="00B02037">
        <w:rPr>
          <w:b/>
        </w:rPr>
        <w:t>490</w:t>
      </w:r>
    </w:p>
    <w:p w:rsidR="00B02037" w:rsidRDefault="00B02037" w:rsidP="00B02037">
      <w:pPr>
        <w:widowControl w:val="0"/>
        <w:rPr>
          <w:b/>
        </w:rPr>
      </w:pPr>
    </w:p>
    <w:p w:rsidR="00B02037" w:rsidRDefault="00B02037" w:rsidP="00B02037">
      <w:pPr>
        <w:widowControl w:val="0"/>
      </w:pPr>
      <w:r w:rsidRPr="00B02037">
        <w:rPr>
          <w:b/>
        </w:rPr>
        <w:t>STATUS INFORMATION</w:t>
      </w:r>
    </w:p>
    <w:p w:rsidR="00B02037" w:rsidRDefault="00B02037" w:rsidP="00B02037">
      <w:pPr>
        <w:widowControl w:val="0"/>
      </w:pPr>
    </w:p>
    <w:p w:rsidR="00B02037" w:rsidRDefault="00B02037" w:rsidP="00B02037">
      <w:pPr>
        <w:widowControl w:val="0"/>
      </w:pPr>
      <w:r>
        <w:t>General Bill</w:t>
      </w:r>
    </w:p>
    <w:p w:rsidR="00B02037" w:rsidRDefault="00B02037" w:rsidP="00B02037">
      <w:pPr>
        <w:widowControl w:val="0"/>
      </w:pPr>
      <w:r>
        <w:t>Sponsors: Senator Alexander</w:t>
      </w:r>
    </w:p>
    <w:p w:rsidR="00B02037" w:rsidRDefault="00B02037" w:rsidP="00B02037">
      <w:pPr>
        <w:widowControl w:val="0"/>
      </w:pPr>
      <w:r>
        <w:t>Document Path: l:\s-res\tca\024smal.ksg.tca.docx</w:t>
      </w:r>
    </w:p>
    <w:p w:rsidR="00B02037" w:rsidRDefault="00B02037" w:rsidP="00B02037">
      <w:pPr>
        <w:widowControl w:val="0"/>
      </w:pPr>
    </w:p>
    <w:p w:rsidR="00AF392D" w:rsidRDefault="00AF392D" w:rsidP="00B02037">
      <w:pPr>
        <w:widowControl w:val="0"/>
      </w:pPr>
      <w:r>
        <w:t>Introduced in the Senate on February 26, 2015</w:t>
      </w:r>
    </w:p>
    <w:p w:rsidR="00AF392D" w:rsidRDefault="00AF392D" w:rsidP="00B02037">
      <w:pPr>
        <w:widowControl w:val="0"/>
      </w:pPr>
      <w:r>
        <w:t>Introduced in the House on May 5, 2015</w:t>
      </w:r>
    </w:p>
    <w:p w:rsidR="00AF392D" w:rsidRDefault="00AF392D" w:rsidP="00B02037">
      <w:pPr>
        <w:widowControl w:val="0"/>
      </w:pPr>
      <w:r>
        <w:t>Last Amended on May 4, 2015</w:t>
      </w:r>
    </w:p>
    <w:p w:rsidR="00AF392D" w:rsidRPr="00AF392D" w:rsidRDefault="00AF392D" w:rsidP="00B02037">
      <w:pPr>
        <w:widowControl w:val="0"/>
      </w:pPr>
      <w:r>
        <w:t xml:space="preserve">Currently residing in the House Committee on </w:t>
      </w:r>
      <w:r w:rsidRPr="00AF392D">
        <w:rPr>
          <w:b/>
        </w:rPr>
        <w:t>Labor, Commerce and Industry</w:t>
      </w:r>
    </w:p>
    <w:p w:rsidR="00AF392D" w:rsidRDefault="00AF392D" w:rsidP="00B02037">
      <w:pPr>
        <w:widowControl w:val="0"/>
      </w:pPr>
    </w:p>
    <w:p w:rsidR="00B02037" w:rsidRDefault="00B02037" w:rsidP="00B02037">
      <w:pPr>
        <w:widowControl w:val="0"/>
      </w:pPr>
      <w:r>
        <w:t xml:space="preserve">Summary: </w:t>
      </w:r>
      <w:r w:rsidR="00971C92">
        <w:t>Small Business Regulatory Review Committee</w:t>
      </w:r>
    </w:p>
    <w:p w:rsidR="00B02037" w:rsidRDefault="00B02037" w:rsidP="00B02037">
      <w:pPr>
        <w:widowControl w:val="0"/>
      </w:pPr>
    </w:p>
    <w:p w:rsidR="00B02037" w:rsidRDefault="00B02037" w:rsidP="00B02037">
      <w:pPr>
        <w:widowControl w:val="0"/>
      </w:pPr>
    </w:p>
    <w:p w:rsidR="00B02037" w:rsidRDefault="00B02037" w:rsidP="00B02037">
      <w:pPr>
        <w:widowControl w:val="0"/>
        <w:tabs>
          <w:tab w:val="center" w:pos="590"/>
          <w:tab w:val="center" w:pos="1440"/>
          <w:tab w:val="left" w:pos="1872"/>
          <w:tab w:val="left" w:pos="9187"/>
        </w:tabs>
      </w:pPr>
      <w:r w:rsidRPr="00B02037">
        <w:rPr>
          <w:b/>
        </w:rPr>
        <w:t>HISTORY OF LEGISLATIVE ACTIONS</w:t>
      </w:r>
    </w:p>
    <w:p w:rsidR="00B02037" w:rsidRDefault="00B02037" w:rsidP="00B02037">
      <w:pPr>
        <w:widowControl w:val="0"/>
        <w:tabs>
          <w:tab w:val="center" w:pos="590"/>
          <w:tab w:val="center" w:pos="1440"/>
          <w:tab w:val="left" w:pos="1872"/>
          <w:tab w:val="left" w:pos="9187"/>
        </w:tabs>
      </w:pPr>
    </w:p>
    <w:p w:rsidR="00B02037" w:rsidRPr="00B02037" w:rsidRDefault="00B02037" w:rsidP="00B02037">
      <w:pPr>
        <w:widowControl w:val="0"/>
        <w:tabs>
          <w:tab w:val="center" w:pos="590"/>
          <w:tab w:val="center" w:pos="1440"/>
          <w:tab w:val="left" w:pos="1872"/>
          <w:tab w:val="left" w:pos="9187"/>
        </w:tabs>
      </w:pPr>
      <w:r w:rsidRPr="00B02037">
        <w:rPr>
          <w:u w:val="single"/>
        </w:rPr>
        <w:tab/>
        <w:t>Date</w:t>
      </w:r>
      <w:r w:rsidRPr="00B02037">
        <w:rPr>
          <w:u w:val="single"/>
        </w:rPr>
        <w:tab/>
        <w:t>Body</w:t>
      </w:r>
      <w:r w:rsidRPr="00B02037">
        <w:rPr>
          <w:u w:val="single"/>
        </w:rPr>
        <w:tab/>
        <w:t>Action Description with journal page number</w:t>
      </w:r>
      <w:r w:rsidRPr="00B02037">
        <w:rPr>
          <w:u w:val="single"/>
        </w:rPr>
        <w:tab/>
      </w:r>
    </w:p>
    <w:p w:rsidR="00D7641C" w:rsidRDefault="00D7641C" w:rsidP="00D7641C">
      <w:pPr>
        <w:widowControl w:val="0"/>
        <w:tabs>
          <w:tab w:val="right" w:pos="1008"/>
          <w:tab w:val="left" w:pos="1152"/>
          <w:tab w:val="left" w:pos="1872"/>
          <w:tab w:val="left" w:pos="9187"/>
        </w:tabs>
        <w:ind w:left="2088" w:hanging="2088"/>
      </w:pPr>
      <w:r>
        <w:tab/>
        <w:t>2/26/2015</w:t>
      </w:r>
      <w:r>
        <w:tab/>
        <w:t>Senate</w:t>
      </w:r>
      <w:r>
        <w:tab/>
      </w:r>
      <w:r w:rsidRPr="005B3E20">
        <w:t>Introduced and read first time (</w:t>
      </w:r>
      <w:hyperlink r:id="rId6" w:history="1">
        <w:r w:rsidRPr="00CE38C7">
          <w:rPr>
            <w:rStyle w:val="Hyperlink"/>
          </w:rPr>
          <w:t>Senate Journal</w:t>
        </w:r>
        <w:r w:rsidRPr="00CE38C7">
          <w:rPr>
            <w:rStyle w:val="Hyperlink"/>
          </w:rPr>
          <w:noBreakHyphen/>
          <w:t>page 2</w:t>
        </w:r>
      </w:hyperlink>
      <w:r w:rsidRPr="005B3E20">
        <w:t>)</w:t>
      </w:r>
    </w:p>
    <w:p w:rsidR="00D7641C" w:rsidRDefault="00D7641C" w:rsidP="00D7641C">
      <w:pPr>
        <w:widowControl w:val="0"/>
        <w:tabs>
          <w:tab w:val="right" w:pos="1008"/>
          <w:tab w:val="left" w:pos="1152"/>
          <w:tab w:val="left" w:pos="1872"/>
          <w:tab w:val="left" w:pos="9187"/>
        </w:tabs>
        <w:ind w:left="2088" w:hanging="2088"/>
      </w:pPr>
      <w:r>
        <w:tab/>
        <w:t>2/26/2015</w:t>
      </w:r>
      <w:r>
        <w:tab/>
        <w:t>Senate</w:t>
      </w:r>
      <w:r>
        <w:tab/>
      </w:r>
      <w:r w:rsidRPr="005B3E20">
        <w:t>Ref</w:t>
      </w:r>
      <w:r>
        <w:t xml:space="preserve">erred to Committee on </w:t>
      </w:r>
      <w:r w:rsidRPr="005B3E20">
        <w:rPr>
          <w:b/>
        </w:rPr>
        <w:t>Judiciary</w:t>
      </w:r>
      <w:r>
        <w:t xml:space="preserve"> </w:t>
      </w:r>
      <w:r w:rsidRPr="005B3E20">
        <w:t>(</w:t>
      </w:r>
      <w:hyperlink r:id="rId7" w:history="1">
        <w:r w:rsidRPr="00CE38C7">
          <w:rPr>
            <w:rStyle w:val="Hyperlink"/>
          </w:rPr>
          <w:t>Senate Journal</w:t>
        </w:r>
        <w:r w:rsidRPr="00CE38C7">
          <w:rPr>
            <w:rStyle w:val="Hyperlink"/>
          </w:rPr>
          <w:noBreakHyphen/>
          <w:t>page 2</w:t>
        </w:r>
      </w:hyperlink>
      <w:r w:rsidRPr="005B3E20">
        <w:t>)</w:t>
      </w:r>
    </w:p>
    <w:p w:rsidR="00D7641C" w:rsidRDefault="00D7641C" w:rsidP="00D7641C">
      <w:pPr>
        <w:widowControl w:val="0"/>
        <w:tabs>
          <w:tab w:val="right" w:pos="1008"/>
          <w:tab w:val="left" w:pos="1152"/>
          <w:tab w:val="left" w:pos="1872"/>
          <w:tab w:val="left" w:pos="9187"/>
        </w:tabs>
        <w:ind w:left="2088" w:hanging="2088"/>
      </w:pPr>
      <w:r>
        <w:tab/>
        <w:t>3/20/2015</w:t>
      </w:r>
      <w:r>
        <w:tab/>
        <w:t>Senate</w:t>
      </w:r>
      <w:r>
        <w:tab/>
      </w:r>
      <w:r w:rsidRPr="005B3E20">
        <w:t>Referred to Subcommittee: Massey (ch), Gregory, Johnson</w:t>
      </w:r>
    </w:p>
    <w:p w:rsidR="00D7641C" w:rsidRDefault="00D7641C" w:rsidP="00D7641C">
      <w:pPr>
        <w:widowControl w:val="0"/>
        <w:tabs>
          <w:tab w:val="right" w:pos="1008"/>
          <w:tab w:val="left" w:pos="1152"/>
          <w:tab w:val="left" w:pos="1872"/>
          <w:tab w:val="left" w:pos="9187"/>
        </w:tabs>
        <w:ind w:left="2088" w:hanging="2088"/>
      </w:pPr>
      <w:r>
        <w:tab/>
        <w:t>4/29/2015</w:t>
      </w:r>
      <w:r>
        <w:tab/>
        <w:t>Senate</w:t>
      </w:r>
      <w:r>
        <w:tab/>
      </w:r>
      <w:r w:rsidRPr="005B3E20">
        <w:t>Committee r</w:t>
      </w:r>
      <w:r>
        <w:t xml:space="preserve">eport: Favorable with amendment </w:t>
      </w:r>
      <w:r w:rsidRPr="005B3E20">
        <w:rPr>
          <w:b/>
        </w:rPr>
        <w:t>Judiciary</w:t>
      </w:r>
      <w:r w:rsidRPr="005B3E20">
        <w:t xml:space="preserve"> (</w:t>
      </w:r>
      <w:hyperlink r:id="rId8" w:history="1">
        <w:r w:rsidRPr="00CE38C7">
          <w:rPr>
            <w:rStyle w:val="Hyperlink"/>
          </w:rPr>
          <w:t>Senate Journal</w:t>
        </w:r>
        <w:r w:rsidRPr="00CE38C7">
          <w:rPr>
            <w:rStyle w:val="Hyperlink"/>
          </w:rPr>
          <w:noBreakHyphen/>
          <w:t>page 24</w:t>
        </w:r>
      </w:hyperlink>
      <w:r w:rsidRPr="005B3E20">
        <w:t>)</w:t>
      </w:r>
    </w:p>
    <w:p w:rsidR="00D7641C" w:rsidRDefault="00D7641C" w:rsidP="00D7641C">
      <w:pPr>
        <w:widowControl w:val="0"/>
        <w:tabs>
          <w:tab w:val="right" w:pos="1008"/>
          <w:tab w:val="left" w:pos="1152"/>
          <w:tab w:val="left" w:pos="1872"/>
          <w:tab w:val="left" w:pos="9187"/>
        </w:tabs>
        <w:ind w:left="2088" w:hanging="2088"/>
      </w:pPr>
      <w:r>
        <w:tab/>
        <w:t>4/30/2015</w:t>
      </w:r>
      <w:r>
        <w:tab/>
      </w:r>
      <w:r>
        <w:tab/>
      </w:r>
      <w:r w:rsidRPr="005B3E20">
        <w:t>Scrivener's error corrected</w:t>
      </w:r>
    </w:p>
    <w:p w:rsidR="00D7641C" w:rsidRDefault="00D7641C" w:rsidP="00D7641C">
      <w:pPr>
        <w:widowControl w:val="0"/>
        <w:tabs>
          <w:tab w:val="right" w:pos="1008"/>
          <w:tab w:val="left" w:pos="1152"/>
          <w:tab w:val="left" w:pos="1872"/>
          <w:tab w:val="left" w:pos="9187"/>
        </w:tabs>
        <w:ind w:left="2088" w:hanging="2088"/>
      </w:pPr>
      <w:r>
        <w:tab/>
        <w:t>5/4/2015</w:t>
      </w:r>
      <w:r>
        <w:tab/>
        <w:t>Senate</w:t>
      </w:r>
      <w:r>
        <w:tab/>
      </w:r>
      <w:r w:rsidRPr="005B3E20">
        <w:t>Committee Amendment Adopted (</w:t>
      </w:r>
      <w:hyperlink r:id="rId9" w:history="1">
        <w:r w:rsidRPr="00CE38C7">
          <w:rPr>
            <w:rStyle w:val="Hyperlink"/>
          </w:rPr>
          <w:t>Senate Journal</w:t>
        </w:r>
        <w:r w:rsidRPr="00CE38C7">
          <w:rPr>
            <w:rStyle w:val="Hyperlink"/>
          </w:rPr>
          <w:noBreakHyphen/>
          <w:t>page 20</w:t>
        </w:r>
      </w:hyperlink>
      <w:r w:rsidRPr="005B3E20">
        <w:t>)</w:t>
      </w:r>
    </w:p>
    <w:p w:rsidR="00D7641C" w:rsidRDefault="00D7641C" w:rsidP="00D7641C">
      <w:pPr>
        <w:widowControl w:val="0"/>
        <w:tabs>
          <w:tab w:val="right" w:pos="1008"/>
          <w:tab w:val="left" w:pos="1152"/>
          <w:tab w:val="left" w:pos="1872"/>
          <w:tab w:val="left" w:pos="9187"/>
        </w:tabs>
        <w:ind w:left="2088" w:hanging="2088"/>
      </w:pPr>
      <w:r>
        <w:tab/>
        <w:t>5/4/2015</w:t>
      </w:r>
      <w:r>
        <w:tab/>
        <w:t>Senate</w:t>
      </w:r>
      <w:r>
        <w:tab/>
      </w:r>
      <w:r w:rsidRPr="005B3E20">
        <w:t>Read second time (</w:t>
      </w:r>
      <w:hyperlink r:id="rId10" w:history="1">
        <w:r w:rsidRPr="00CE38C7">
          <w:rPr>
            <w:rStyle w:val="Hyperlink"/>
          </w:rPr>
          <w:t>Senate Journal</w:t>
        </w:r>
        <w:r w:rsidRPr="00CE38C7">
          <w:rPr>
            <w:rStyle w:val="Hyperlink"/>
          </w:rPr>
          <w:noBreakHyphen/>
          <w:t>page 20</w:t>
        </w:r>
      </w:hyperlink>
      <w:r w:rsidRPr="005B3E20">
        <w:t>)</w:t>
      </w:r>
    </w:p>
    <w:p w:rsidR="00D7641C" w:rsidRDefault="00D7641C" w:rsidP="00D7641C">
      <w:pPr>
        <w:widowControl w:val="0"/>
        <w:tabs>
          <w:tab w:val="right" w:pos="1008"/>
          <w:tab w:val="left" w:pos="1152"/>
          <w:tab w:val="left" w:pos="1872"/>
          <w:tab w:val="left" w:pos="9187"/>
        </w:tabs>
        <w:ind w:left="2088" w:hanging="2088"/>
      </w:pPr>
      <w:r>
        <w:tab/>
        <w:t>5/4/2015</w:t>
      </w:r>
      <w:r>
        <w:tab/>
        <w:t>Senate</w:t>
      </w:r>
      <w:r>
        <w:tab/>
      </w:r>
      <w:r w:rsidRPr="005B3E20">
        <w:t>Roll call Ayes</w:t>
      </w:r>
      <w:r>
        <w:noBreakHyphen/>
      </w:r>
      <w:r w:rsidRPr="005B3E20">
        <w:t>36  Nays</w:t>
      </w:r>
      <w:r>
        <w:noBreakHyphen/>
      </w:r>
      <w:r w:rsidRPr="005B3E20">
        <w:t>0 (</w:t>
      </w:r>
      <w:hyperlink r:id="rId11" w:history="1">
        <w:r w:rsidRPr="00CE38C7">
          <w:rPr>
            <w:rStyle w:val="Hyperlink"/>
          </w:rPr>
          <w:t>Senate Journal</w:t>
        </w:r>
        <w:r w:rsidRPr="00CE38C7">
          <w:rPr>
            <w:rStyle w:val="Hyperlink"/>
          </w:rPr>
          <w:noBreakHyphen/>
          <w:t>page 20</w:t>
        </w:r>
      </w:hyperlink>
      <w:r w:rsidRPr="005B3E20">
        <w:t>)</w:t>
      </w:r>
    </w:p>
    <w:p w:rsidR="00D7641C" w:rsidRDefault="00D7641C" w:rsidP="00D7641C">
      <w:pPr>
        <w:widowControl w:val="0"/>
        <w:tabs>
          <w:tab w:val="right" w:pos="1008"/>
          <w:tab w:val="left" w:pos="1152"/>
          <w:tab w:val="left" w:pos="1872"/>
          <w:tab w:val="left" w:pos="9187"/>
        </w:tabs>
        <w:ind w:left="2088" w:hanging="2088"/>
      </w:pPr>
      <w:r>
        <w:tab/>
        <w:t>5/5/2015</w:t>
      </w:r>
      <w:r>
        <w:tab/>
        <w:t>Senate</w:t>
      </w:r>
      <w:r>
        <w:tab/>
      </w:r>
      <w:r w:rsidRPr="005B3E20">
        <w:t>Re</w:t>
      </w:r>
      <w:r>
        <w:t xml:space="preserve">ad third time and sent to House </w:t>
      </w:r>
      <w:r w:rsidRPr="005B3E20">
        <w:t>(</w:t>
      </w:r>
      <w:hyperlink r:id="rId12" w:history="1">
        <w:r w:rsidRPr="00CE38C7">
          <w:rPr>
            <w:rStyle w:val="Hyperlink"/>
          </w:rPr>
          <w:t>Senate Journal</w:t>
        </w:r>
        <w:r w:rsidRPr="00CE38C7">
          <w:rPr>
            <w:rStyle w:val="Hyperlink"/>
          </w:rPr>
          <w:noBreakHyphen/>
          <w:t>page 6</w:t>
        </w:r>
      </w:hyperlink>
      <w:r w:rsidRPr="005B3E20">
        <w:t>)</w:t>
      </w:r>
    </w:p>
    <w:p w:rsidR="00D7641C" w:rsidRDefault="00D7641C" w:rsidP="00D7641C">
      <w:pPr>
        <w:widowControl w:val="0"/>
        <w:tabs>
          <w:tab w:val="right" w:pos="1008"/>
          <w:tab w:val="left" w:pos="1152"/>
          <w:tab w:val="left" w:pos="1872"/>
          <w:tab w:val="left" w:pos="9187"/>
        </w:tabs>
        <w:ind w:left="2088" w:hanging="2088"/>
      </w:pPr>
      <w:r>
        <w:tab/>
        <w:t>5/5/2015</w:t>
      </w:r>
      <w:r>
        <w:tab/>
        <w:t>House</w:t>
      </w:r>
      <w:r>
        <w:tab/>
      </w:r>
      <w:r w:rsidRPr="005B3E20">
        <w:t>Introduced and read first time (</w:t>
      </w:r>
      <w:hyperlink r:id="rId13" w:history="1">
        <w:r w:rsidRPr="00CE38C7">
          <w:rPr>
            <w:rStyle w:val="Hyperlink"/>
          </w:rPr>
          <w:t>House Journal</w:t>
        </w:r>
        <w:r w:rsidRPr="00CE38C7">
          <w:rPr>
            <w:rStyle w:val="Hyperlink"/>
          </w:rPr>
          <w:noBreakHyphen/>
          <w:t>page 20</w:t>
        </w:r>
      </w:hyperlink>
      <w:r w:rsidRPr="005B3E20">
        <w:t>)</w:t>
      </w:r>
    </w:p>
    <w:p w:rsidR="00D7641C" w:rsidRDefault="00D7641C" w:rsidP="00D7641C">
      <w:pPr>
        <w:widowControl w:val="0"/>
        <w:tabs>
          <w:tab w:val="right" w:pos="1008"/>
          <w:tab w:val="left" w:pos="1152"/>
          <w:tab w:val="left" w:pos="1872"/>
          <w:tab w:val="left" w:pos="9187"/>
        </w:tabs>
        <w:ind w:left="2088" w:hanging="2088"/>
      </w:pPr>
      <w:r>
        <w:tab/>
        <w:t>5/5/2015</w:t>
      </w:r>
      <w:r>
        <w:tab/>
        <w:t>House</w:t>
      </w:r>
      <w:r>
        <w:tab/>
      </w:r>
      <w:r w:rsidRPr="005B3E20">
        <w:t xml:space="preserve">Referred </w:t>
      </w:r>
      <w:r>
        <w:t xml:space="preserve">to Committee on </w:t>
      </w:r>
      <w:r w:rsidRPr="005B3E20">
        <w:rPr>
          <w:b/>
        </w:rPr>
        <w:t>Regulations and Administrative Procedures</w:t>
      </w:r>
      <w:r w:rsidRPr="005B3E20">
        <w:t xml:space="preserve"> (</w:t>
      </w:r>
      <w:hyperlink r:id="rId14" w:history="1">
        <w:r w:rsidRPr="00CE38C7">
          <w:rPr>
            <w:rStyle w:val="Hyperlink"/>
          </w:rPr>
          <w:t>House Journal</w:t>
        </w:r>
        <w:r w:rsidRPr="00CE38C7">
          <w:rPr>
            <w:rStyle w:val="Hyperlink"/>
          </w:rPr>
          <w:noBreakHyphen/>
          <w:t>page 20</w:t>
        </w:r>
      </w:hyperlink>
      <w:r w:rsidRPr="005B3E20">
        <w:t>)</w:t>
      </w:r>
    </w:p>
    <w:p w:rsidR="00D7641C" w:rsidRDefault="00D7641C" w:rsidP="00D7641C">
      <w:pPr>
        <w:widowControl w:val="0"/>
        <w:tabs>
          <w:tab w:val="right" w:pos="1008"/>
          <w:tab w:val="left" w:pos="1152"/>
          <w:tab w:val="left" w:pos="1872"/>
          <w:tab w:val="left" w:pos="9187"/>
        </w:tabs>
        <w:ind w:left="2088" w:hanging="2088"/>
      </w:pPr>
      <w:r>
        <w:tab/>
        <w:t>5/5/2015</w:t>
      </w:r>
      <w:r>
        <w:tab/>
      </w:r>
      <w:r>
        <w:tab/>
      </w:r>
      <w:r w:rsidRPr="005B3E20">
        <w:t>Scrivener's error corrected</w:t>
      </w:r>
    </w:p>
    <w:p w:rsidR="00D7641C" w:rsidRDefault="00D7641C" w:rsidP="00D7641C">
      <w:pPr>
        <w:widowControl w:val="0"/>
        <w:tabs>
          <w:tab w:val="right" w:pos="1008"/>
          <w:tab w:val="left" w:pos="1152"/>
          <w:tab w:val="left" w:pos="1872"/>
          <w:tab w:val="left" w:pos="9187"/>
        </w:tabs>
        <w:ind w:left="2088" w:hanging="2088"/>
      </w:pPr>
      <w:r>
        <w:tab/>
        <w:t>2/9/2016</w:t>
      </w:r>
      <w:r>
        <w:tab/>
        <w:t>House</w:t>
      </w:r>
      <w:r>
        <w:tab/>
      </w:r>
      <w:r w:rsidRPr="005B3E20">
        <w:t>Recalled fr</w:t>
      </w:r>
      <w:r>
        <w:t xml:space="preserve">om Committee on </w:t>
      </w:r>
      <w:r w:rsidRPr="005B3E20">
        <w:rPr>
          <w:b/>
        </w:rPr>
        <w:t>Regulations and Administrative Procedures</w:t>
      </w:r>
      <w:r w:rsidRPr="005B3E20">
        <w:t xml:space="preserve"> (</w:t>
      </w:r>
      <w:hyperlink r:id="rId15" w:history="1">
        <w:r w:rsidRPr="00CE38C7">
          <w:rPr>
            <w:rStyle w:val="Hyperlink"/>
          </w:rPr>
          <w:t>House Journal</w:t>
        </w:r>
        <w:r w:rsidRPr="00CE38C7">
          <w:rPr>
            <w:rStyle w:val="Hyperlink"/>
          </w:rPr>
          <w:noBreakHyphen/>
          <w:t>page 32</w:t>
        </w:r>
      </w:hyperlink>
      <w:r w:rsidRPr="005B3E20">
        <w:t>)</w:t>
      </w:r>
    </w:p>
    <w:p w:rsidR="00D7641C" w:rsidRDefault="00D7641C" w:rsidP="00D7641C">
      <w:pPr>
        <w:widowControl w:val="0"/>
        <w:tabs>
          <w:tab w:val="right" w:pos="1008"/>
          <w:tab w:val="left" w:pos="1152"/>
          <w:tab w:val="left" w:pos="1872"/>
          <w:tab w:val="left" w:pos="9187"/>
        </w:tabs>
        <w:ind w:left="2088" w:hanging="2088"/>
      </w:pPr>
      <w:r>
        <w:tab/>
        <w:t>2/9/2016</w:t>
      </w:r>
      <w:r>
        <w:tab/>
        <w:t>House</w:t>
      </w:r>
      <w:r>
        <w:tab/>
      </w:r>
      <w:r w:rsidRPr="005B3E20">
        <w:t>Committed to C</w:t>
      </w:r>
      <w:r>
        <w:t xml:space="preserve">ommittee on </w:t>
      </w:r>
      <w:r w:rsidRPr="005B3E20">
        <w:rPr>
          <w:b/>
        </w:rPr>
        <w:t>Labor, Commerce and Industry</w:t>
      </w:r>
      <w:r w:rsidRPr="005B3E20">
        <w:t xml:space="preserve"> (</w:t>
      </w:r>
      <w:hyperlink r:id="rId16" w:history="1">
        <w:r w:rsidRPr="00CE38C7">
          <w:rPr>
            <w:rStyle w:val="Hyperlink"/>
          </w:rPr>
          <w:t>House Journal</w:t>
        </w:r>
        <w:r w:rsidRPr="00CE38C7">
          <w:rPr>
            <w:rStyle w:val="Hyperlink"/>
          </w:rPr>
          <w:noBreakHyphen/>
          <w:t>page 32</w:t>
        </w:r>
      </w:hyperlink>
      <w:r w:rsidRPr="005B3E20">
        <w:t>)</w:t>
      </w:r>
    </w:p>
    <w:p w:rsidR="00D7641C" w:rsidRDefault="00D7641C" w:rsidP="00D7641C">
      <w:pPr>
        <w:widowControl w:val="0"/>
        <w:tabs>
          <w:tab w:val="right" w:pos="1008"/>
          <w:tab w:val="left" w:pos="1152"/>
          <w:tab w:val="left" w:pos="1872"/>
          <w:tab w:val="left" w:pos="9187"/>
        </w:tabs>
        <w:ind w:left="2088" w:hanging="2088"/>
      </w:pPr>
    </w:p>
    <w:p w:rsidR="00B02037" w:rsidRDefault="00B02037" w:rsidP="00B02037">
      <w:pPr>
        <w:widowControl w:val="0"/>
        <w:tabs>
          <w:tab w:val="right" w:pos="1008"/>
          <w:tab w:val="left" w:pos="1152"/>
          <w:tab w:val="left" w:pos="1872"/>
          <w:tab w:val="left" w:pos="9187"/>
        </w:tabs>
        <w:ind w:left="2088" w:hanging="2088"/>
      </w:pPr>
      <w:r>
        <w:t xml:space="preserve">View the latest </w:t>
      </w:r>
      <w:hyperlink r:id="rId17" w:history="1">
        <w:r w:rsidRPr="00B02037">
          <w:rPr>
            <w:rStyle w:val="Hyperlink"/>
          </w:rPr>
          <w:t>legislative information</w:t>
        </w:r>
      </w:hyperlink>
      <w:r>
        <w:t xml:space="preserve"> at the website</w:t>
      </w:r>
    </w:p>
    <w:p w:rsidR="00B02037" w:rsidRDefault="00B02037" w:rsidP="00B02037">
      <w:pPr>
        <w:widowControl w:val="0"/>
        <w:tabs>
          <w:tab w:val="right" w:pos="1008"/>
          <w:tab w:val="left" w:pos="1152"/>
          <w:tab w:val="left" w:pos="1872"/>
          <w:tab w:val="left" w:pos="9187"/>
        </w:tabs>
        <w:ind w:left="2088" w:hanging="2088"/>
      </w:pPr>
    </w:p>
    <w:p w:rsidR="00B02037" w:rsidRPr="00B02037" w:rsidRDefault="00B02037" w:rsidP="00B02037">
      <w:pPr>
        <w:widowControl w:val="0"/>
        <w:tabs>
          <w:tab w:val="right" w:pos="1008"/>
          <w:tab w:val="left" w:pos="1152"/>
          <w:tab w:val="left" w:pos="1872"/>
          <w:tab w:val="left" w:pos="9187"/>
        </w:tabs>
        <w:ind w:left="2088" w:hanging="2088"/>
      </w:pPr>
    </w:p>
    <w:p w:rsidR="00B02037" w:rsidRDefault="00B02037" w:rsidP="00B02037">
      <w:pPr>
        <w:widowControl w:val="0"/>
      </w:pPr>
      <w:r w:rsidRPr="00B02037">
        <w:rPr>
          <w:b/>
        </w:rPr>
        <w:t>VERSIONS OF THIS BILL</w:t>
      </w:r>
    </w:p>
    <w:p w:rsidR="00B02037" w:rsidRDefault="00B02037" w:rsidP="00B02037">
      <w:pPr>
        <w:widowControl w:val="0"/>
      </w:pPr>
    </w:p>
    <w:p w:rsidR="00B02037" w:rsidRDefault="00CE38C7" w:rsidP="00B02037">
      <w:pPr>
        <w:widowControl w:val="0"/>
      </w:pPr>
      <w:hyperlink r:id="rId18" w:history="1">
        <w:r w:rsidR="00B02037">
          <w:rPr>
            <w:rStyle w:val="Hyperlink"/>
          </w:rPr>
          <w:t>2/26/2015</w:t>
        </w:r>
      </w:hyperlink>
    </w:p>
    <w:p w:rsidR="00B02037" w:rsidRDefault="00CE38C7" w:rsidP="00B02037">
      <w:hyperlink r:id="rId19" w:history="1">
        <w:r w:rsidR="008B695C" w:rsidRPr="008B695C">
          <w:rPr>
            <w:rStyle w:val="Hyperlink"/>
          </w:rPr>
          <w:t>4/29/2015</w:t>
        </w:r>
      </w:hyperlink>
    </w:p>
    <w:p w:rsidR="008B695C" w:rsidRDefault="00CE38C7" w:rsidP="00B02037">
      <w:hyperlink r:id="rId20" w:history="1">
        <w:r w:rsidR="00C60ABA" w:rsidRPr="00C60ABA">
          <w:rPr>
            <w:rStyle w:val="Hyperlink"/>
          </w:rPr>
          <w:t>4/30/2015</w:t>
        </w:r>
      </w:hyperlink>
    </w:p>
    <w:p w:rsidR="00C60ABA" w:rsidRDefault="00CE38C7" w:rsidP="00B02037">
      <w:hyperlink r:id="rId21" w:history="1">
        <w:r w:rsidR="00A24968" w:rsidRPr="00A24968">
          <w:rPr>
            <w:rStyle w:val="Hyperlink"/>
          </w:rPr>
          <w:t>5/4/2015</w:t>
        </w:r>
      </w:hyperlink>
    </w:p>
    <w:p w:rsidR="00A24968" w:rsidRDefault="00CE38C7" w:rsidP="00B02037">
      <w:hyperlink r:id="rId22" w:history="1">
        <w:r w:rsidR="007916C9" w:rsidRPr="007916C9">
          <w:rPr>
            <w:rStyle w:val="Hyperlink"/>
          </w:rPr>
          <w:t>5/5/2015</w:t>
        </w:r>
      </w:hyperlink>
    </w:p>
    <w:p w:rsidR="007916C9" w:rsidRDefault="007916C9" w:rsidP="00B02037"/>
    <w:p w:rsidR="00B02037" w:rsidRDefault="00B02037" w:rsidP="00B02037">
      <w:pPr>
        <w:sectPr w:rsidR="00B02037" w:rsidSect="00B02037">
          <w:pgSz w:w="12240" w:h="15840" w:code="1"/>
          <w:pgMar w:top="1080" w:right="1440" w:bottom="1080" w:left="1440" w:header="720" w:footer="720" w:gutter="0"/>
          <w:cols w:space="720"/>
          <w:noEndnote/>
          <w:docGrid w:linePitch="360"/>
        </w:sectPr>
      </w:pPr>
    </w:p>
    <w:p w:rsidR="007916C9"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7916C9" w:rsidRPr="008B480D"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916C9"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6C9" w:rsidRDefault="007916C9" w:rsidP="008B480D">
      <w:pPr>
        <w:tabs>
          <w:tab w:val="right" w:pos="5933"/>
        </w:tabs>
        <w:suppressAutoHyphens/>
        <w:jc w:val="both"/>
        <w:rPr>
          <w:rFonts w:eastAsia="Times New Roman"/>
        </w:rPr>
      </w:pPr>
      <w:r>
        <w:rPr>
          <w:rFonts w:eastAsia="Times New Roman"/>
        </w:rPr>
        <w:t>COMMITTEE AMENDMENT ADOPTED</w:t>
      </w:r>
    </w:p>
    <w:p w:rsidR="007916C9" w:rsidRDefault="007916C9" w:rsidP="008B480D">
      <w:pPr>
        <w:tabs>
          <w:tab w:val="right" w:pos="5933"/>
        </w:tabs>
        <w:suppressAutoHyphens/>
        <w:jc w:val="both"/>
        <w:rPr>
          <w:rFonts w:eastAsia="Times New Roman"/>
        </w:rPr>
      </w:pPr>
      <w:r>
        <w:rPr>
          <w:rFonts w:eastAsia="Times New Roman"/>
        </w:rPr>
        <w:t>May 4, 2015</w:t>
      </w:r>
    </w:p>
    <w:p w:rsidR="007916C9" w:rsidRDefault="007916C9" w:rsidP="008B480D">
      <w:pPr>
        <w:tabs>
          <w:tab w:val="right" w:pos="5933"/>
        </w:tabs>
        <w:suppressAutoHyphens/>
        <w:jc w:val="both"/>
        <w:rPr>
          <w:rFonts w:eastAsia="Times New Roman"/>
        </w:rPr>
      </w:pPr>
    </w:p>
    <w:p w:rsidR="007916C9" w:rsidRPr="008B480D" w:rsidRDefault="007916C9" w:rsidP="008B480D">
      <w:pPr>
        <w:tabs>
          <w:tab w:val="right" w:pos="5933"/>
        </w:tabs>
        <w:suppressAutoHyphens/>
        <w:jc w:val="both"/>
        <w:rPr>
          <w:rFonts w:eastAsia="Times New Roman"/>
        </w:rPr>
      </w:pPr>
      <w:r>
        <w:rPr>
          <w:rFonts w:eastAsia="Times New Roman"/>
        </w:rPr>
        <w:tab/>
      </w:r>
      <w:r>
        <w:rPr>
          <w:rFonts w:eastAsia="Times New Roman"/>
          <w:b/>
          <w:sz w:val="36"/>
        </w:rPr>
        <w:t>S. 490</w:t>
      </w:r>
    </w:p>
    <w:p w:rsidR="007916C9"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6C9" w:rsidRDefault="007916C9" w:rsidP="008B4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B673EB">
        <w:t>Senator Alexander</w:t>
      </w:r>
    </w:p>
    <w:p w:rsidR="007916C9"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6C9" w:rsidRDefault="007916C9" w:rsidP="00E92374">
      <w:pPr>
        <w:tabs>
          <w:tab w:val="right" w:pos="5933"/>
        </w:tabs>
        <w:suppressAutoHyphens/>
        <w:jc w:val="both"/>
        <w:rPr>
          <w:rFonts w:eastAsia="Times New Roman"/>
        </w:rPr>
      </w:pPr>
      <w:r>
        <w:rPr>
          <w:rFonts w:eastAsia="Times New Roman"/>
        </w:rPr>
        <w:t>S. Printed 5/4/15--S.</w:t>
      </w:r>
      <w:r>
        <w:rPr>
          <w:rFonts w:eastAsia="Times New Roman"/>
        </w:rPr>
        <w:tab/>
        <w:t>[SEC 5/5/15 2:48 PM]</w:t>
      </w:r>
    </w:p>
    <w:p w:rsidR="007916C9"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26, 2015.</w:t>
      </w:r>
    </w:p>
    <w:p w:rsidR="007916C9" w:rsidRDefault="007916C9" w:rsidP="00C93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916C9"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916C9" w:rsidSect="008B480D">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7916C9" w:rsidRPr="00522CE0"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6C9" w:rsidRPr="00522CE0"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6C9" w:rsidRPr="00522CE0"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6C9" w:rsidRPr="00522CE0"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6C9" w:rsidRPr="00522CE0"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6C9" w:rsidRPr="00522CE0"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6C9" w:rsidRPr="00522CE0"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6C9" w:rsidRPr="00522CE0"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6C9" w:rsidRPr="008F023B" w:rsidRDefault="007916C9" w:rsidP="00A73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916C9" w:rsidRPr="00522CE0"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6C9" w:rsidRPr="00522CE0" w:rsidRDefault="007916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A84F60">
        <w:rPr>
          <w:rFonts w:eastAsia="Times New Roman"/>
          <w:color w:val="000000" w:themeColor="text1"/>
          <w:u w:color="000000" w:themeColor="text1"/>
        </w:rPr>
        <w:t>1</w:t>
      </w:r>
      <w:r>
        <w:rPr>
          <w:rFonts w:eastAsia="Times New Roman"/>
          <w:color w:val="000000" w:themeColor="text1"/>
          <w:u w:color="000000" w:themeColor="text1"/>
        </w:rPr>
        <w:noBreakHyphen/>
      </w:r>
      <w:r w:rsidRPr="00A84F60">
        <w:rPr>
          <w:rFonts w:eastAsia="Times New Roman"/>
          <w:color w:val="000000" w:themeColor="text1"/>
          <w:u w:color="000000" w:themeColor="text1"/>
        </w:rPr>
        <w:t>23</w:t>
      </w:r>
      <w:r>
        <w:rPr>
          <w:rFonts w:eastAsia="Times New Roman"/>
          <w:color w:val="000000" w:themeColor="text1"/>
          <w:u w:color="000000" w:themeColor="text1"/>
        </w:rPr>
        <w:noBreakHyphen/>
      </w:r>
      <w:r w:rsidRPr="00A84F60">
        <w:rPr>
          <w:rFonts w:eastAsia="Times New Roman"/>
          <w:color w:val="000000" w:themeColor="text1"/>
          <w:u w:color="000000" w:themeColor="text1"/>
        </w:rPr>
        <w:t>280</w:t>
      </w:r>
      <w:r>
        <w:rPr>
          <w:rFonts w:eastAsia="Times New Roman"/>
          <w:color w:val="000000" w:themeColor="text1"/>
          <w:u w:color="000000" w:themeColor="text1"/>
        </w:rPr>
        <w:t xml:space="preserve"> OF THE 1976 CODE, RELATING TO THE SMALL BUSINESS REGULATORY REVIEW COMMITTEE, TO PROVIDE THAT IT IS THE DUTY OF THE COMMITTEE TO REQUEST FROM AN AGENCY PROMULGATING A REGULATION BEING REVIEWED BY THE COMMITTEE A RESPONSE TO THE COMMITTEE</w:t>
      </w:r>
      <w:r w:rsidRPr="00C46C25">
        <w:rPr>
          <w:rFonts w:eastAsia="Times New Roman"/>
          <w:color w:val="000000" w:themeColor="text1"/>
          <w:u w:color="000000" w:themeColor="text1"/>
        </w:rPr>
        <w:t>’</w:t>
      </w:r>
      <w:r>
        <w:rPr>
          <w:rFonts w:eastAsia="Times New Roman"/>
          <w:color w:val="000000" w:themeColor="text1"/>
          <w:u w:color="000000" w:themeColor="text1"/>
        </w:rPr>
        <w:t>S REQUEST FOR INFORMATION RELATED TO THE REGULATION AND TO PROVIDE THAT THE AGENCY MUST RESPOND TO THE REQUEST WITHIN FIFTEEN DAYS, TO PROVIDE THAT THE COMMITTEE SHALL HAVE THE ABILITY TO REQUEST INFORMATION AND A REGULATORY FLEXIBILITY ANALYSIS ON A PROPOSED REGULATION AFTER THE PUBLIC HEARING DATE OR A REGULATORY FLEXIBILITY ANALYSIS ON AN EXISTING REGULATION, AND THE ABILITY TO PETITION THE STATE AGENCY OR THE GENERAL ASSEMBLY, OR BOTH, TO AMEND, REVISE, OR REVOKE A REGULATION IF THE COMMITTEE DETERMINES THERE WILL BE A SIGNIFICANT ADVERSE IMPACT ON SMALL BUSINESSES, TO PROVIDE FOR THE ADJUSTMENT OF COMMITTEE MEMBERS</w:t>
      </w:r>
      <w:r w:rsidRPr="00C46C25">
        <w:rPr>
          <w:rFonts w:eastAsia="Times New Roman"/>
          <w:color w:val="000000" w:themeColor="text1"/>
          <w:u w:color="000000" w:themeColor="text1"/>
        </w:rPr>
        <w:t>’</w:t>
      </w:r>
      <w:r>
        <w:rPr>
          <w:rFonts w:eastAsia="Times New Roman"/>
          <w:color w:val="000000" w:themeColor="text1"/>
          <w:u w:color="000000" w:themeColor="text1"/>
        </w:rPr>
        <w:t xml:space="preserve"> TERMS TO ACHIEVE STAGGERED TERMS, AND TO PROVIDE THAT AN APPOINTED COMMITTEE MEMBER SHALL NOT SERVE CONSECUTIVELY FOR MORE THAN SIX YEARS.</w:t>
      </w:r>
    </w:p>
    <w:p w:rsidR="007916C9"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916C9"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F60">
        <w:rPr>
          <w:rFonts w:eastAsia="Times New Roman"/>
          <w:color w:val="000000" w:themeColor="text1"/>
          <w:u w:color="000000" w:themeColor="text1"/>
        </w:rPr>
        <w:t>Be it enacted by the General Assembly of the State of South Carolina:</w:t>
      </w: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A84F60">
        <w:rPr>
          <w:rFonts w:eastAsia="Times New Roman"/>
          <w:color w:val="000000" w:themeColor="text1"/>
          <w:u w:color="000000" w:themeColor="text1"/>
        </w:rPr>
        <w:t>SECTION</w:t>
      </w:r>
      <w:r w:rsidRPr="00A84F60">
        <w:rPr>
          <w:rFonts w:eastAsia="Times New Roman"/>
          <w:color w:val="000000" w:themeColor="text1"/>
          <w:u w:color="000000" w:themeColor="text1"/>
        </w:rPr>
        <w:tab/>
        <w:t>1.</w:t>
      </w:r>
      <w:r w:rsidRPr="00A84F60">
        <w:rPr>
          <w:rFonts w:eastAsia="Times New Roman"/>
          <w:color w:val="000000" w:themeColor="text1"/>
          <w:u w:color="000000" w:themeColor="text1"/>
        </w:rPr>
        <w:tab/>
        <w:t>Section 1</w:t>
      </w:r>
      <w:r>
        <w:rPr>
          <w:rFonts w:eastAsia="Times New Roman"/>
          <w:color w:val="000000" w:themeColor="text1"/>
          <w:u w:color="000000" w:themeColor="text1"/>
        </w:rPr>
        <w:noBreakHyphen/>
      </w:r>
      <w:r w:rsidRPr="00A84F60">
        <w:rPr>
          <w:rFonts w:eastAsia="Times New Roman"/>
          <w:color w:val="000000" w:themeColor="text1"/>
          <w:u w:color="000000" w:themeColor="text1"/>
        </w:rPr>
        <w:t>23</w:t>
      </w:r>
      <w:r>
        <w:rPr>
          <w:rFonts w:eastAsia="Times New Roman"/>
          <w:color w:val="000000" w:themeColor="text1"/>
          <w:u w:color="000000" w:themeColor="text1"/>
        </w:rPr>
        <w:noBreakHyphen/>
      </w:r>
      <w:r w:rsidRPr="00A84F60">
        <w:rPr>
          <w:rFonts w:eastAsia="Times New Roman"/>
          <w:color w:val="000000" w:themeColor="text1"/>
          <w:u w:color="000000" w:themeColor="text1"/>
        </w:rPr>
        <w:t>280 of th</w:t>
      </w:r>
      <w:r>
        <w:rPr>
          <w:rFonts w:eastAsia="Times New Roman"/>
          <w:color w:val="000000" w:themeColor="text1"/>
          <w:u w:color="000000" w:themeColor="text1"/>
        </w:rPr>
        <w:t>e 1976 Code is amended to read:</w:t>
      </w: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Times New Roman"/>
          <w:color w:val="000000" w:themeColor="text1"/>
          <w:u w:color="000000" w:themeColor="text1"/>
        </w:rPr>
        <w:tab/>
        <w:t>“Section 1</w:t>
      </w:r>
      <w:r>
        <w:rPr>
          <w:rFonts w:eastAsia="Times New Roman"/>
          <w:color w:val="000000" w:themeColor="text1"/>
          <w:u w:color="000000" w:themeColor="text1"/>
        </w:rPr>
        <w:noBreakHyphen/>
      </w:r>
      <w:r w:rsidRPr="00A84F60">
        <w:rPr>
          <w:rFonts w:eastAsia="Times New Roman"/>
          <w:color w:val="000000" w:themeColor="text1"/>
          <w:u w:color="000000" w:themeColor="text1"/>
        </w:rPr>
        <w:t>23</w:t>
      </w:r>
      <w:r>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Times New Roman"/>
          <w:color w:val="000000" w:themeColor="text1"/>
          <w:u w:color="000000" w:themeColor="text1"/>
        </w:rPr>
        <w:tab/>
      </w:r>
      <w:r w:rsidRPr="00A84F60">
        <w:rPr>
          <w:rFonts w:eastAsia="Calibri"/>
          <w:color w:val="000000" w:themeColor="text1"/>
          <w:u w:color="000000" w:themeColor="text1"/>
        </w:rPr>
        <w:t>(A)(1)</w:t>
      </w:r>
      <w:r w:rsidRPr="00A84F60">
        <w:rPr>
          <w:rFonts w:eastAsia="Calibri"/>
          <w:color w:val="000000" w:themeColor="text1"/>
          <w:u w:color="000000" w:themeColor="text1"/>
        </w:rPr>
        <w:tab/>
        <w:t>There is established a Small Business Regulatory Review Committee within the South Carolina Department of Commerce.</w:t>
      </w:r>
      <w:r>
        <w:rPr>
          <w:rFonts w:eastAsia="Calibri"/>
          <w:color w:val="000000" w:themeColor="text1"/>
          <w:u w:color="000000" w:themeColor="text1"/>
        </w:rPr>
        <w:t xml:space="preserve"> For purposes of this article, ‘committee’</w:t>
      </w:r>
      <w:r w:rsidRPr="00A84F60">
        <w:rPr>
          <w:rFonts w:eastAsia="Calibri"/>
          <w:color w:val="000000" w:themeColor="text1"/>
          <w:u w:color="000000" w:themeColor="text1"/>
        </w:rPr>
        <w:t xml:space="preserve"> is the Small Business R</w:t>
      </w:r>
      <w:r>
        <w:rPr>
          <w:rFonts w:eastAsia="Calibri"/>
          <w:color w:val="000000" w:themeColor="text1"/>
          <w:u w:color="000000" w:themeColor="text1"/>
        </w:rPr>
        <w:t>egulatory Review Committee and ‘department’</w:t>
      </w:r>
      <w:r w:rsidRPr="00A84F60">
        <w:rPr>
          <w:rFonts w:eastAsia="Calibri"/>
          <w:color w:val="000000" w:themeColor="text1"/>
          <w:u w:color="000000" w:themeColor="text1"/>
        </w:rPr>
        <w:t xml:space="preserve"> is the South Carolina Department of Commerce.</w:t>
      </w: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(2)</w:t>
      </w:r>
      <w:r w:rsidRPr="00A84F60">
        <w:rPr>
          <w:rFonts w:eastAsia="Calibri"/>
          <w:color w:val="000000" w:themeColor="text1"/>
          <w:u w:color="000000" w:themeColor="text1"/>
        </w:rPr>
        <w:tab/>
      </w:r>
      <w:r w:rsidRPr="00657E0E">
        <w:rPr>
          <w:rFonts w:eastAsia="Calibri"/>
          <w:color w:val="000000" w:themeColor="text1"/>
          <w:u w:color="000000" w:themeColor="text1"/>
        </w:rPr>
        <w:t>The duties of the committee, in determining if a proposed permanent regulation has a significant adverse impact on small businesses, are to:</w:t>
      </w: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val="single" w:color="000000" w:themeColor="text1"/>
        </w:rPr>
        <w:t>(a)</w:t>
      </w:r>
      <w:r w:rsidRPr="00A84F60">
        <w:rPr>
          <w:rFonts w:eastAsia="Calibri"/>
          <w:color w:val="000000" w:themeColor="text1"/>
          <w:u w:color="000000" w:themeColor="text1"/>
        </w:rPr>
        <w:tab/>
      </w:r>
      <w:r>
        <w:rPr>
          <w:rFonts w:eastAsia="Calibri"/>
          <w:color w:val="000000" w:themeColor="text1"/>
          <w:u w:val="single" w:color="000000" w:themeColor="text1"/>
        </w:rPr>
        <w:t>request, at the c</w:t>
      </w:r>
      <w:r w:rsidRPr="00657E0E">
        <w:rPr>
          <w:rFonts w:eastAsia="Calibri"/>
          <w:color w:val="000000" w:themeColor="text1"/>
          <w:u w:val="single" w:color="000000" w:themeColor="text1"/>
        </w:rPr>
        <w:t>ommittee</w:t>
      </w:r>
      <w:r w:rsidRPr="00C46C25">
        <w:rPr>
          <w:rFonts w:eastAsia="Calibri"/>
          <w:color w:val="000000" w:themeColor="text1"/>
          <w:u w:val="single" w:color="000000" w:themeColor="text1"/>
        </w:rPr>
        <w:t>’</w:t>
      </w:r>
      <w:r w:rsidRPr="00657E0E">
        <w:rPr>
          <w:rFonts w:eastAsia="Calibri"/>
          <w:color w:val="000000" w:themeColor="text1"/>
          <w:u w:val="single" w:color="000000" w:themeColor="text1"/>
        </w:rPr>
        <w:t xml:space="preserve">s discretion, from the promulgating agency </w:t>
      </w:r>
      <w:r>
        <w:rPr>
          <w:rFonts w:eastAsia="Calibri"/>
          <w:color w:val="000000" w:themeColor="text1"/>
          <w:u w:val="single" w:color="000000" w:themeColor="text1"/>
        </w:rPr>
        <w:t>a response</w:t>
      </w:r>
      <w:r w:rsidRPr="00657E0E">
        <w:rPr>
          <w:rFonts w:eastAsia="Calibri"/>
          <w:color w:val="000000" w:themeColor="text1"/>
          <w:u w:val="single" w:color="000000" w:themeColor="text1"/>
        </w:rPr>
        <w:t xml:space="preserve"> to the </w:t>
      </w:r>
      <w:r>
        <w:rPr>
          <w:rFonts w:eastAsia="Calibri"/>
          <w:color w:val="000000" w:themeColor="text1"/>
          <w:u w:val="single" w:color="000000" w:themeColor="text1"/>
        </w:rPr>
        <w:t>c</w:t>
      </w:r>
      <w:r w:rsidRPr="00657E0E">
        <w:rPr>
          <w:rFonts w:eastAsia="Calibri"/>
          <w:color w:val="000000" w:themeColor="text1"/>
          <w:u w:val="single" w:color="000000" w:themeColor="text1"/>
        </w:rPr>
        <w:t>ommittee</w:t>
      </w:r>
      <w:r w:rsidRPr="00C46C25">
        <w:rPr>
          <w:rFonts w:eastAsia="Calibri"/>
          <w:color w:val="000000" w:themeColor="text1"/>
          <w:u w:val="single" w:color="000000" w:themeColor="text1"/>
        </w:rPr>
        <w:t>’</w:t>
      </w:r>
      <w:r w:rsidRPr="00657E0E">
        <w:rPr>
          <w:rFonts w:eastAsia="Calibri"/>
          <w:color w:val="000000" w:themeColor="text1"/>
          <w:u w:val="single" w:color="000000" w:themeColor="text1"/>
        </w:rPr>
        <w:t>s request for inform</w:t>
      </w:r>
      <w:r>
        <w:rPr>
          <w:rFonts w:eastAsia="Calibri"/>
          <w:color w:val="000000" w:themeColor="text1"/>
          <w:u w:val="single" w:color="000000" w:themeColor="text1"/>
        </w:rPr>
        <w:t>ation related to the regulation</w:t>
      </w:r>
      <w:r w:rsidRPr="00657E0E">
        <w:rPr>
          <w:rFonts w:eastAsia="Calibri"/>
          <w:color w:val="000000" w:themeColor="text1"/>
          <w:u w:val="single" w:color="000000" w:themeColor="text1"/>
        </w:rPr>
        <w:t xml:space="preserve"> so that the </w:t>
      </w:r>
      <w:r>
        <w:rPr>
          <w:rFonts w:eastAsia="Calibri"/>
          <w:color w:val="000000" w:themeColor="text1"/>
          <w:u w:val="single" w:color="000000" w:themeColor="text1"/>
        </w:rPr>
        <w:t>c</w:t>
      </w:r>
      <w:r w:rsidRPr="00657E0E">
        <w:rPr>
          <w:rFonts w:eastAsia="Calibri"/>
          <w:color w:val="000000" w:themeColor="text1"/>
          <w:u w:val="single" w:color="000000" w:themeColor="text1"/>
        </w:rPr>
        <w:t>ommittee can determine if a regulatory flexibility analysis as described in Section 1</w:t>
      </w:r>
      <w:r>
        <w:rPr>
          <w:rFonts w:eastAsia="Calibri"/>
          <w:color w:val="000000" w:themeColor="text1"/>
          <w:u w:val="single" w:color="000000" w:themeColor="text1"/>
        </w:rPr>
        <w:noBreakHyphen/>
      </w:r>
      <w:r w:rsidRPr="00657E0E">
        <w:rPr>
          <w:rFonts w:eastAsia="Calibri"/>
          <w:color w:val="000000" w:themeColor="text1"/>
          <w:u w:val="single" w:color="000000" w:themeColor="text1"/>
        </w:rPr>
        <w:t>23</w:t>
      </w:r>
      <w:r>
        <w:rPr>
          <w:rFonts w:eastAsia="Calibri"/>
          <w:color w:val="000000" w:themeColor="text1"/>
          <w:u w:val="single" w:color="000000" w:themeColor="text1"/>
        </w:rPr>
        <w:noBreakHyphen/>
      </w:r>
      <w:r w:rsidRPr="00657E0E">
        <w:rPr>
          <w:rFonts w:eastAsia="Calibri"/>
          <w:color w:val="000000" w:themeColor="text1"/>
          <w:u w:val="single" w:color="000000" w:themeColor="text1"/>
        </w:rPr>
        <w:t>270(C)</w:t>
      </w:r>
      <w:r>
        <w:rPr>
          <w:rFonts w:eastAsia="Calibri"/>
          <w:color w:val="000000" w:themeColor="text1"/>
          <w:u w:val="single" w:color="000000" w:themeColor="text1"/>
        </w:rPr>
        <w:t>(2)</w:t>
      </w:r>
      <w:r w:rsidRPr="00657E0E">
        <w:rPr>
          <w:rFonts w:eastAsia="Calibri"/>
          <w:color w:val="000000" w:themeColor="text1"/>
          <w:u w:val="single" w:color="000000" w:themeColor="text1"/>
        </w:rPr>
        <w:t xml:space="preserve"> is warranted. The promulgating agency must respond within </w:t>
      </w:r>
      <w:r>
        <w:rPr>
          <w:rFonts w:eastAsia="Calibri"/>
          <w:color w:val="000000" w:themeColor="text1"/>
          <w:u w:val="single" w:color="000000" w:themeColor="text1"/>
        </w:rPr>
        <w:t>fifteen</w:t>
      </w:r>
      <w:r w:rsidRPr="00657E0E">
        <w:rPr>
          <w:rFonts w:eastAsia="Calibri"/>
          <w:color w:val="000000" w:themeColor="text1"/>
          <w:u w:val="single" w:color="000000" w:themeColor="text1"/>
        </w:rPr>
        <w:t xml:space="preserve"> days to the request for information.</w:t>
      </w: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(a)</w:t>
      </w:r>
      <w:r w:rsidRPr="00657E0E">
        <w:rPr>
          <w:rFonts w:eastAsia="Calibri"/>
          <w:color w:val="000000" w:themeColor="text1"/>
          <w:u w:val="single" w:color="000000" w:themeColor="text1"/>
        </w:rPr>
        <w:t>(b)</w:t>
      </w:r>
      <w:r w:rsidRPr="00A84F60">
        <w:rPr>
          <w:rFonts w:eastAsia="Calibri"/>
          <w:color w:val="000000" w:themeColor="text1"/>
          <w:u w:color="000000" w:themeColor="text1"/>
        </w:rPr>
        <w:tab/>
      </w:r>
      <w:r w:rsidRPr="00657E0E">
        <w:rPr>
          <w:rFonts w:eastAsia="Calibri"/>
          <w:color w:val="000000" w:themeColor="text1"/>
          <w:u w:color="000000" w:themeColor="text1"/>
        </w:rPr>
        <w:t>direct the promulgating agency to prepare the regulatory flexibility analysis described in Section 1</w:t>
      </w:r>
      <w:r>
        <w:rPr>
          <w:rFonts w:eastAsia="Calibri"/>
          <w:color w:val="000000" w:themeColor="text1"/>
          <w:u w:color="000000" w:themeColor="text1"/>
        </w:rPr>
        <w:noBreakHyphen/>
      </w:r>
      <w:r w:rsidRPr="00657E0E">
        <w:rPr>
          <w:rFonts w:eastAsia="Calibri"/>
          <w:color w:val="000000" w:themeColor="text1"/>
          <w:u w:color="000000" w:themeColor="text1"/>
        </w:rPr>
        <w:t>23</w:t>
      </w:r>
      <w:r>
        <w:rPr>
          <w:rFonts w:eastAsia="Calibri"/>
          <w:color w:val="000000" w:themeColor="text1"/>
          <w:u w:color="000000" w:themeColor="text1"/>
        </w:rPr>
        <w:noBreakHyphen/>
      </w:r>
      <w:r w:rsidRPr="00657E0E">
        <w:rPr>
          <w:rFonts w:eastAsia="Calibri"/>
          <w:color w:val="000000" w:themeColor="text1"/>
          <w:u w:color="000000" w:themeColor="text1"/>
        </w:rPr>
        <w:t>270(C)(2) no later than the end of the public comment period that follows the notice of proposed regulation, as provided in Section 1</w:t>
      </w:r>
      <w:r>
        <w:rPr>
          <w:rFonts w:eastAsia="Calibri"/>
          <w:color w:val="000000" w:themeColor="text1"/>
          <w:u w:color="000000" w:themeColor="text1"/>
        </w:rPr>
        <w:noBreakHyphen/>
      </w:r>
      <w:r w:rsidRPr="00657E0E">
        <w:rPr>
          <w:rFonts w:eastAsia="Calibri"/>
          <w:color w:val="000000" w:themeColor="text1"/>
          <w:u w:color="000000" w:themeColor="text1"/>
        </w:rPr>
        <w:t>23</w:t>
      </w:r>
      <w:r>
        <w:rPr>
          <w:rFonts w:eastAsia="Calibri"/>
          <w:color w:val="000000" w:themeColor="text1"/>
          <w:u w:color="000000" w:themeColor="text1"/>
        </w:rPr>
        <w:noBreakHyphen/>
      </w:r>
      <w:r w:rsidRPr="00657E0E">
        <w:rPr>
          <w:rFonts w:eastAsia="Calibri"/>
          <w:color w:val="000000" w:themeColor="text1"/>
          <w:u w:color="000000" w:themeColor="text1"/>
        </w:rPr>
        <w:t>110(A)(3); and</w:t>
      </w: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(b)</w:t>
      </w:r>
      <w:r w:rsidRPr="00657E0E">
        <w:rPr>
          <w:rFonts w:eastAsia="Calibri"/>
          <w:color w:val="000000" w:themeColor="text1"/>
          <w:u w:val="single" w:color="000000" w:themeColor="text1"/>
        </w:rPr>
        <w:t>(c)</w:t>
      </w:r>
      <w:r w:rsidRPr="00A84F60">
        <w:rPr>
          <w:rFonts w:eastAsia="Calibri"/>
          <w:color w:val="000000" w:themeColor="text1"/>
          <w:u w:color="000000" w:themeColor="text1"/>
        </w:rPr>
        <w:tab/>
      </w:r>
      <w:r w:rsidRPr="00657E0E">
        <w:rPr>
          <w:rFonts w:eastAsia="Calibri"/>
          <w:color w:val="000000" w:themeColor="text1"/>
          <w:u w:color="000000" w:themeColor="text1"/>
        </w:rPr>
        <w:t>request, at the committee</w:t>
      </w:r>
      <w:r w:rsidRPr="00C46C25">
        <w:rPr>
          <w:rFonts w:eastAsia="Calibri"/>
          <w:color w:val="000000" w:themeColor="text1"/>
          <w:u w:color="000000" w:themeColor="text1"/>
        </w:rPr>
        <w:t>’</w:t>
      </w:r>
      <w:r w:rsidRPr="00657E0E">
        <w:rPr>
          <w:rFonts w:eastAsia="Calibri"/>
          <w:color w:val="000000" w:themeColor="text1"/>
          <w:u w:color="000000" w:themeColor="text1"/>
        </w:rPr>
        <w:t>s discretion, the Revenue and Fiscal Affairs Office to prepare a final assessment report, as provided in Section 1</w:t>
      </w:r>
      <w:r>
        <w:rPr>
          <w:rFonts w:eastAsia="Calibri"/>
          <w:color w:val="000000" w:themeColor="text1"/>
          <w:u w:color="000000" w:themeColor="text1"/>
        </w:rPr>
        <w:noBreakHyphen/>
      </w:r>
      <w:r w:rsidRPr="00657E0E">
        <w:rPr>
          <w:rFonts w:eastAsia="Calibri"/>
          <w:color w:val="000000" w:themeColor="text1"/>
          <w:u w:color="000000" w:themeColor="text1"/>
        </w:rPr>
        <w:t>23</w:t>
      </w:r>
      <w:r>
        <w:rPr>
          <w:rFonts w:eastAsia="Calibri"/>
          <w:color w:val="000000" w:themeColor="text1"/>
          <w:u w:color="000000" w:themeColor="text1"/>
        </w:rPr>
        <w:noBreakHyphen/>
      </w:r>
      <w:r w:rsidRPr="00657E0E">
        <w:rPr>
          <w:rFonts w:eastAsia="Calibri"/>
          <w:color w:val="000000" w:themeColor="text1"/>
          <w:u w:color="000000" w:themeColor="text1"/>
        </w:rPr>
        <w:t>115(B), of the proposed permanent regulation no later than the end of the public comment period that follows the notice of proposed regulation, as provided in Section 1</w:t>
      </w:r>
      <w:r>
        <w:rPr>
          <w:rFonts w:eastAsia="Calibri"/>
          <w:color w:val="000000" w:themeColor="text1"/>
          <w:u w:color="000000" w:themeColor="text1"/>
        </w:rPr>
        <w:noBreakHyphen/>
      </w:r>
      <w:r w:rsidRPr="00657E0E">
        <w:rPr>
          <w:rFonts w:eastAsia="Calibri"/>
          <w:color w:val="000000" w:themeColor="text1"/>
          <w:u w:color="000000" w:themeColor="text1"/>
        </w:rPr>
        <w:t>23</w:t>
      </w:r>
      <w:r>
        <w:rPr>
          <w:rFonts w:eastAsia="Calibri"/>
          <w:color w:val="000000" w:themeColor="text1"/>
          <w:u w:color="000000" w:themeColor="text1"/>
        </w:rPr>
        <w:noBreakHyphen/>
      </w:r>
      <w:r w:rsidRPr="00657E0E">
        <w:rPr>
          <w:rFonts w:eastAsia="Calibri"/>
          <w:color w:val="000000" w:themeColor="text1"/>
          <w:u w:color="000000" w:themeColor="text1"/>
        </w:rPr>
        <w:t>110(A)(3). The committee may request a final assessment report from the Revenue and Fiscal Affairs Office only in cases where the committee determines that information in addition to the agency</w:t>
      </w:r>
      <w:r w:rsidRPr="00C46C25">
        <w:rPr>
          <w:rFonts w:eastAsia="Calibri"/>
          <w:color w:val="000000" w:themeColor="text1"/>
          <w:u w:color="000000" w:themeColor="text1"/>
        </w:rPr>
        <w:t>’</w:t>
      </w:r>
      <w:r w:rsidRPr="00657E0E">
        <w:rPr>
          <w:rFonts w:eastAsia="Calibri"/>
          <w:color w:val="000000" w:themeColor="text1"/>
          <w:u w:color="000000" w:themeColor="text1"/>
        </w:rPr>
        <w:t>s economic impact as provided in Section 1</w:t>
      </w:r>
      <w:r>
        <w:rPr>
          <w:rFonts w:eastAsia="Calibri"/>
          <w:color w:val="000000" w:themeColor="text1"/>
          <w:u w:color="000000" w:themeColor="text1"/>
        </w:rPr>
        <w:noBreakHyphen/>
      </w:r>
      <w:r w:rsidRPr="00657E0E">
        <w:rPr>
          <w:rFonts w:eastAsia="Calibri"/>
          <w:color w:val="000000" w:themeColor="text1"/>
          <w:u w:color="000000" w:themeColor="text1"/>
        </w:rPr>
        <w:t>23</w:t>
      </w:r>
      <w:r>
        <w:rPr>
          <w:rFonts w:eastAsia="Calibri"/>
          <w:color w:val="000000" w:themeColor="text1"/>
          <w:u w:color="000000" w:themeColor="text1"/>
        </w:rPr>
        <w:noBreakHyphen/>
      </w:r>
      <w:r w:rsidRPr="00657E0E">
        <w:rPr>
          <w:rFonts w:eastAsia="Calibri"/>
          <w:color w:val="000000" w:themeColor="text1"/>
          <w:u w:color="000000" w:themeColor="text1"/>
        </w:rPr>
        <w:t>270(C)(1) is critical in the committee</w:t>
      </w:r>
      <w:r w:rsidRPr="00C46C25">
        <w:rPr>
          <w:rFonts w:eastAsia="Calibri"/>
          <w:color w:val="000000" w:themeColor="text1"/>
          <w:u w:color="000000" w:themeColor="text1"/>
        </w:rPr>
        <w:t>’</w:t>
      </w:r>
      <w:r w:rsidRPr="00657E0E">
        <w:rPr>
          <w:rFonts w:eastAsia="Calibri"/>
          <w:color w:val="000000" w:themeColor="text1"/>
          <w:u w:color="000000" w:themeColor="text1"/>
        </w:rPr>
        <w:t>s determination that a proposed permanent regulation has a significant adverse impact on small business. The Revenue and Fiscal Affairs Office:</w:t>
      </w: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(i)</w:t>
      </w:r>
      <w:r>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within the review and comment period, shall perform a final assessment report of the regulation on small businesses within sixty days of a request for assessment by the committee, and the promulgating agency has sixty days to complete a regulatory flexibility analysis; and</w:t>
      </w: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t>(ii)</w:t>
      </w:r>
      <w:r w:rsidRPr="00A84F60">
        <w:rPr>
          <w:rFonts w:eastAsia="Calibri"/>
          <w:color w:val="000000" w:themeColor="text1"/>
          <w:u w:color="000000" w:themeColor="text1"/>
        </w:rPr>
        <w:tab/>
      </w:r>
      <w:r w:rsidRPr="00657E0E">
        <w:rPr>
          <w:rFonts w:eastAsia="Calibri"/>
          <w:color w:val="000000" w:themeColor="text1"/>
          <w:u w:color="000000" w:themeColor="text1"/>
        </w:rPr>
        <w:t>may request additional information from the agency. The sixty</w:t>
      </w:r>
      <w:r>
        <w:rPr>
          <w:rFonts w:eastAsia="Calibri"/>
          <w:color w:val="000000" w:themeColor="text1"/>
          <w:u w:color="000000" w:themeColor="text1"/>
        </w:rPr>
        <w:noBreakHyphen/>
      </w:r>
      <w:r w:rsidRPr="00657E0E">
        <w:rPr>
          <w:rFonts w:eastAsia="Calibri"/>
          <w:color w:val="000000" w:themeColor="text1"/>
          <w:u w:color="000000" w:themeColor="text1"/>
        </w:rPr>
        <w:t>day final assessment report deadline must be tolled until the time that the Office of Research and Statistics receives the requested additional information. The one</w:t>
      </w:r>
      <w:r>
        <w:rPr>
          <w:rFonts w:eastAsia="Calibri"/>
          <w:color w:val="000000" w:themeColor="text1"/>
          <w:u w:color="000000" w:themeColor="text1"/>
        </w:rPr>
        <w:noBreakHyphen/>
      </w:r>
      <w:r w:rsidRPr="00657E0E">
        <w:rPr>
          <w:rFonts w:eastAsia="Calibri"/>
          <w:color w:val="000000" w:themeColor="text1"/>
          <w:u w:color="000000" w:themeColor="text1"/>
        </w:rPr>
        <w:t>year deadline for submission of regulations to the General Assembly as provided in Section 1</w:t>
      </w:r>
      <w:r>
        <w:rPr>
          <w:rFonts w:eastAsia="Calibri"/>
          <w:color w:val="000000" w:themeColor="text1"/>
          <w:u w:color="000000" w:themeColor="text1"/>
        </w:rPr>
        <w:noBreakHyphen/>
      </w:r>
      <w:r w:rsidRPr="00657E0E">
        <w:rPr>
          <w:rFonts w:eastAsia="Calibri"/>
          <w:color w:val="000000" w:themeColor="text1"/>
          <w:u w:color="000000" w:themeColor="text1"/>
        </w:rPr>
        <w:t>23</w:t>
      </w:r>
      <w:r>
        <w:rPr>
          <w:rFonts w:eastAsia="Calibri"/>
          <w:color w:val="000000" w:themeColor="text1"/>
          <w:u w:color="000000" w:themeColor="text1"/>
        </w:rPr>
        <w:noBreakHyphen/>
      </w:r>
      <w:r w:rsidRPr="00657E0E">
        <w:rPr>
          <w:rFonts w:eastAsia="Calibri"/>
          <w:color w:val="000000" w:themeColor="text1"/>
          <w:u w:color="000000" w:themeColor="text1"/>
        </w:rPr>
        <w:t>120</w:t>
      </w:r>
      <w:r>
        <w:rPr>
          <w:rFonts w:eastAsia="Calibri"/>
          <w:color w:val="000000" w:themeColor="text1"/>
          <w:u w:color="000000" w:themeColor="text1"/>
        </w:rPr>
        <w:t xml:space="preserve">(A) </w:t>
      </w:r>
      <w:r w:rsidRPr="00657E0E">
        <w:rPr>
          <w:rFonts w:eastAsia="Calibri"/>
          <w:color w:val="000000" w:themeColor="text1"/>
          <w:u w:color="000000" w:themeColor="text1"/>
        </w:rPr>
        <w:t>also must be tolled until the time that both analyses are prepared and presented to the committee; and</w:t>
      </w: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strike/>
          <w:color w:val="000000" w:themeColor="text1"/>
          <w:u w:color="000000" w:themeColor="text1"/>
        </w:rPr>
        <w:t>(c)</w:t>
      </w:r>
      <w:r w:rsidRPr="00657E0E">
        <w:rPr>
          <w:rFonts w:eastAsia="Calibri"/>
          <w:color w:val="000000" w:themeColor="text1"/>
          <w:u w:val="single" w:color="000000" w:themeColor="text1"/>
        </w:rPr>
        <w:t>(d)</w:t>
      </w:r>
      <w:r w:rsidRPr="00A84F60">
        <w:rPr>
          <w:rFonts w:eastAsia="Calibri"/>
          <w:color w:val="000000" w:themeColor="text1"/>
          <w:u w:color="000000" w:themeColor="text1"/>
        </w:rPr>
        <w:tab/>
      </w:r>
      <w:r w:rsidRPr="00657E0E">
        <w:rPr>
          <w:rFonts w:eastAsia="Calibri"/>
          <w:color w:val="000000" w:themeColor="text1"/>
          <w:u w:color="000000" w:themeColor="text1"/>
        </w:rPr>
        <w:t>submit to the promulgating agency, no later than thirty days after receipt of the regulatory flexibility analysis prepared by the promulgating agency and, if requested by the committee, after receipt of the final assessment report prepared by the Office of Research and Statistics, a written statement advising the agency that a proposed permanent regulation has a significant adverse impact on small business.</w:t>
      </w: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sidRPr="00BA6DA7">
        <w:rPr>
          <w:rFonts w:eastAsia="Calibri"/>
          <w:color w:val="000000" w:themeColor="text1"/>
          <w:u w:color="000000" w:themeColor="text1"/>
        </w:rPr>
        <w:tab/>
        <w:t>(3)</w:t>
      </w:r>
      <w:r w:rsidRPr="00BA6DA7">
        <w:rPr>
          <w:rFonts w:eastAsia="Calibri"/>
          <w:color w:val="000000" w:themeColor="text1"/>
          <w:u w:color="000000" w:themeColor="text1"/>
        </w:rPr>
        <w:tab/>
      </w:r>
      <w:r w:rsidRPr="00BA6DA7">
        <w:rPr>
          <w:rFonts w:eastAsia="Calibri"/>
          <w:strike/>
          <w:color w:val="000000" w:themeColor="text1"/>
          <w:u w:color="000000" w:themeColor="text1"/>
        </w:rPr>
        <w:t>This subsection does not limit the committee’s ability to petition a state agency to amend, revise, or revoke an existing regulation.</w:t>
      </w:r>
      <w:r w:rsidRPr="00BA6DA7">
        <w:rPr>
          <w:rFonts w:eastAsia="Calibri"/>
          <w:color w:val="000000" w:themeColor="text1"/>
          <w:u w:color="000000" w:themeColor="text1"/>
        </w:rPr>
        <w:t xml:space="preserve"> </w:t>
      </w:r>
      <w:r>
        <w:rPr>
          <w:rFonts w:eastAsia="Calibri"/>
          <w:color w:val="000000" w:themeColor="text1"/>
          <w:u w:color="000000" w:themeColor="text1"/>
        </w:rPr>
        <w:t xml:space="preserve"> </w:t>
      </w:r>
      <w:r w:rsidRPr="00BA6DA7">
        <w:rPr>
          <w:rFonts w:eastAsia="Calibri"/>
          <w:color w:val="000000" w:themeColor="text1"/>
          <w:u w:val="single" w:color="000000" w:themeColor="text1"/>
        </w:rPr>
        <w:t xml:space="preserve">This subsection does not limit the committee’s ability to request information for a regulatory flexibility analysis on a proposed regulation after the public hearing date or a regulatory flexibility analysis on an existing regulation. </w:t>
      </w:r>
      <w:r>
        <w:rPr>
          <w:rFonts w:eastAsia="Calibri"/>
          <w:color w:val="000000" w:themeColor="text1"/>
          <w:u w:val="single" w:color="000000" w:themeColor="text1"/>
        </w:rPr>
        <w:t xml:space="preserve"> </w:t>
      </w:r>
      <w:r w:rsidRPr="00BA6DA7">
        <w:rPr>
          <w:rFonts w:eastAsia="Calibri"/>
          <w:color w:val="000000" w:themeColor="text1"/>
          <w:u w:val="single" w:color="000000" w:themeColor="text1"/>
        </w:rPr>
        <w:t>The agency which promulgated the regulation must respond to a request for information within fifteen days and must respond to a request for a regulatory flexibility analysis within thirty days.</w:t>
      </w:r>
      <w:r>
        <w:rPr>
          <w:rFonts w:eastAsia="Calibri"/>
          <w:color w:val="000000" w:themeColor="text1"/>
          <w:u w:val="single" w:color="000000" w:themeColor="text1"/>
        </w:rPr>
        <w:t xml:space="preserve"> </w:t>
      </w:r>
      <w:r w:rsidRPr="00BA6DA7">
        <w:rPr>
          <w:rFonts w:eastAsia="Calibri"/>
          <w:color w:val="000000" w:themeColor="text1"/>
          <w:u w:val="single" w:color="000000" w:themeColor="text1"/>
        </w:rPr>
        <w:t xml:space="preserve"> Should the committee determine that the regulation has a significant adverse impact on small businesses it</w:t>
      </w:r>
      <w:r>
        <w:rPr>
          <w:rFonts w:eastAsia="Calibri"/>
          <w:color w:val="000000" w:themeColor="text1"/>
          <w:u w:val="single" w:color="000000" w:themeColor="text1"/>
        </w:rPr>
        <w:t xml:space="preserve"> may petition the state agency</w:t>
      </w:r>
      <w:r w:rsidRPr="00BA6DA7">
        <w:rPr>
          <w:rFonts w:eastAsia="Calibri"/>
          <w:color w:val="000000" w:themeColor="text1"/>
          <w:u w:val="single" w:color="000000" w:themeColor="text1"/>
        </w:rPr>
        <w:t xml:space="preserve"> to amend, revise, or revoke the regulation.</w:t>
      </w: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(4)</w:t>
      </w:r>
      <w:r w:rsidRPr="00A84F60">
        <w:rPr>
          <w:rFonts w:eastAsia="Calibri"/>
          <w:color w:val="000000" w:themeColor="text1"/>
          <w:u w:color="000000" w:themeColor="text1"/>
        </w:rPr>
        <w:tab/>
      </w:r>
      <w:r w:rsidRPr="00657E0E">
        <w:rPr>
          <w:rFonts w:eastAsia="Calibri"/>
          <w:color w:val="000000" w:themeColor="text1"/>
          <w:u w:color="000000" w:themeColor="text1"/>
        </w:rPr>
        <w:t>Staff support for the committee must be provided by the department. The department shall act only as a coordinator for the committee, and may not provide legal counsel for the committee.</w:t>
      </w: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(B)</w:t>
      </w:r>
      <w:r w:rsidRPr="00A84F60">
        <w:rPr>
          <w:rFonts w:eastAsia="Calibri"/>
          <w:color w:val="000000" w:themeColor="text1"/>
          <w:u w:color="000000" w:themeColor="text1"/>
        </w:rPr>
        <w:tab/>
      </w:r>
      <w:r w:rsidRPr="00657E0E">
        <w:rPr>
          <w:rFonts w:eastAsia="Calibri"/>
          <w:color w:val="000000" w:themeColor="text1"/>
          <w:u w:color="000000" w:themeColor="text1"/>
        </w:rPr>
        <w:t>The committee shall consist of eleven members, appointed as follows:</w:t>
      </w: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(1)</w:t>
      </w:r>
      <w:r w:rsidRPr="00A84F60">
        <w:rPr>
          <w:rFonts w:eastAsia="Calibri"/>
          <w:color w:val="000000" w:themeColor="text1"/>
          <w:u w:color="000000" w:themeColor="text1"/>
        </w:rPr>
        <w:tab/>
      </w:r>
      <w:r w:rsidRPr="00657E0E">
        <w:rPr>
          <w:rFonts w:eastAsia="Calibri"/>
          <w:color w:val="000000" w:themeColor="text1"/>
          <w:u w:color="000000" w:themeColor="text1"/>
        </w:rPr>
        <w:t>five members to be appointed by the Governor;</w:t>
      </w: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(2)</w:t>
      </w:r>
      <w:r w:rsidRPr="00A84F60">
        <w:rPr>
          <w:rFonts w:eastAsia="Calibri"/>
          <w:color w:val="000000" w:themeColor="text1"/>
          <w:u w:color="000000" w:themeColor="text1"/>
        </w:rPr>
        <w:tab/>
      </w:r>
      <w:r w:rsidRPr="00657E0E">
        <w:rPr>
          <w:rFonts w:eastAsia="Calibri"/>
          <w:color w:val="000000" w:themeColor="text1"/>
          <w:u w:color="000000" w:themeColor="text1"/>
        </w:rPr>
        <w:t>three members to be appointed by the President Pro Tempore of the Senate; and</w:t>
      </w:r>
    </w:p>
    <w:p w:rsidR="007916C9" w:rsidRPr="00A84F6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color w:val="000000" w:themeColor="text1"/>
          <w:u w:color="000000" w:themeColor="text1"/>
        </w:rPr>
        <w:t>three members to be appointed by the Speaker of the House of Representatives.</w:t>
      </w:r>
    </w:p>
    <w:p w:rsidR="007916C9" w:rsidRPr="00657E0E"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(C)</w:t>
      </w:r>
      <w:r w:rsidRPr="00A84F60">
        <w:rPr>
          <w:rFonts w:eastAsia="Calibri"/>
          <w:color w:val="000000" w:themeColor="text1"/>
          <w:u w:color="000000" w:themeColor="text1"/>
        </w:rPr>
        <w:tab/>
      </w:r>
      <w:r w:rsidRPr="00657E0E">
        <w:rPr>
          <w:rFonts w:eastAsia="Calibri"/>
          <w:color w:val="000000" w:themeColor="text1"/>
          <w:u w:color="000000" w:themeColor="text1"/>
        </w:rPr>
        <w:t>In addition, the Chairman of the Labor, Commerce and Industry Committee of the South Carolina Senate and the Chairman of the Labor, Commerce and Industry Committee of the South Carolina House of Representatives, or their designees, shall serve as nonvoting, ex officio members of the committee. During the committee review process, the director or his designee, of the promulgating agency shall be available at the request of the committee for comment on the proposed regulation.</w:t>
      </w:r>
    </w:p>
    <w:p w:rsidR="007916C9" w:rsidRPr="00657E0E"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(D)</w:t>
      </w:r>
      <w:r w:rsidRPr="00A84F60">
        <w:rPr>
          <w:rFonts w:eastAsia="Calibri"/>
          <w:color w:val="000000" w:themeColor="text1"/>
          <w:u w:color="000000" w:themeColor="text1"/>
        </w:rPr>
        <w:tab/>
      </w:r>
      <w:r w:rsidRPr="00657E0E">
        <w:rPr>
          <w:rFonts w:eastAsia="Calibri"/>
          <w:color w:val="000000" w:themeColor="text1"/>
          <w:u w:color="000000" w:themeColor="text1"/>
        </w:rPr>
        <w:t>Appointments to the committee must be representative of a variety of small businesses in this State. All appointed members shall be either current or former owners or officers of a small business.</w:t>
      </w:r>
    </w:p>
    <w:p w:rsidR="007916C9" w:rsidRPr="00657E0E"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(E)</w:t>
      </w:r>
      <w:r w:rsidRPr="00A84F60">
        <w:rPr>
          <w:rFonts w:eastAsia="Calibri"/>
          <w:color w:val="000000" w:themeColor="text1"/>
          <w:u w:color="000000" w:themeColor="text1"/>
        </w:rPr>
        <w:tab/>
      </w:r>
      <w:r w:rsidRPr="00657E0E">
        <w:rPr>
          <w:rFonts w:eastAsia="Calibri"/>
          <w:color w:val="000000" w:themeColor="text1"/>
          <w:u w:color="000000" w:themeColor="text1"/>
        </w:rPr>
        <w:t>The initial appointments to the committee must be made within sixty days from the effective date of this act. The department shall provide the name and address of each appointee to the Governor, the President Pro Tempore of the Senate, the Speaker of the House of Representatives, and the Chairmen of the House and Senate Labor, Commerce and Industry Committees.</w:t>
      </w:r>
    </w:p>
    <w:p w:rsidR="007916C9" w:rsidRPr="00657E0E"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t>(F)(1)</w:t>
      </w:r>
      <w:r w:rsidRPr="00A84F60">
        <w:rPr>
          <w:rFonts w:eastAsia="Calibri"/>
          <w:color w:val="000000" w:themeColor="text1"/>
          <w:u w:color="000000" w:themeColor="text1"/>
        </w:rPr>
        <w:tab/>
      </w:r>
      <w:r w:rsidRPr="00657E0E">
        <w:rPr>
          <w:rFonts w:eastAsia="Calibri"/>
          <w:strike/>
          <w:color w:val="000000" w:themeColor="text1"/>
          <w:u w:color="000000" w:themeColor="text1"/>
        </w:rPr>
        <w:t>Members initially appointed to the committee shall serve for terms ending December 31, 2005. Thereafter, appointed members shall serve two</w:t>
      </w:r>
      <w:r>
        <w:rPr>
          <w:rFonts w:eastAsia="Calibri"/>
          <w:strike/>
          <w:color w:val="000000" w:themeColor="text1"/>
          <w:u w:color="000000" w:themeColor="text1"/>
        </w:rPr>
        <w:noBreakHyphen/>
      </w:r>
      <w:r w:rsidRPr="00657E0E">
        <w:rPr>
          <w:rFonts w:eastAsia="Calibri"/>
          <w:strike/>
          <w:color w:val="000000" w:themeColor="text1"/>
          <w:u w:color="000000" w:themeColor="text1"/>
        </w:rPr>
        <w:t>year terms that expire on December thirty</w:t>
      </w:r>
      <w:r>
        <w:rPr>
          <w:rFonts w:eastAsia="Calibri"/>
          <w:strike/>
          <w:color w:val="000000" w:themeColor="text1"/>
          <w:u w:color="000000" w:themeColor="text1"/>
        </w:rPr>
        <w:noBreakHyphen/>
      </w:r>
      <w:r w:rsidRPr="00657E0E">
        <w:rPr>
          <w:rFonts w:eastAsia="Calibri"/>
          <w:strike/>
          <w:color w:val="000000" w:themeColor="text1"/>
          <w:u w:color="000000" w:themeColor="text1"/>
        </w:rPr>
        <w:t>first of the second year.</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Members shall be appointed to two</w:t>
      </w:r>
      <w:r>
        <w:rPr>
          <w:rFonts w:eastAsia="Calibri"/>
          <w:color w:val="000000" w:themeColor="text1"/>
          <w:u w:val="single" w:color="000000" w:themeColor="text1"/>
        </w:rPr>
        <w:noBreakHyphen/>
      </w:r>
      <w:r w:rsidRPr="00657E0E">
        <w:rPr>
          <w:rFonts w:eastAsia="Calibri"/>
          <w:color w:val="000000" w:themeColor="text1"/>
          <w:u w:val="single" w:color="000000" w:themeColor="text1"/>
        </w:rPr>
        <w:t>year terms that expire on December thirty</w:t>
      </w:r>
      <w:r>
        <w:rPr>
          <w:rFonts w:eastAsia="Calibri"/>
          <w:color w:val="000000" w:themeColor="text1"/>
          <w:u w:val="single" w:color="000000" w:themeColor="text1"/>
        </w:rPr>
        <w:noBreakHyphen/>
      </w:r>
      <w:r w:rsidRPr="00657E0E">
        <w:rPr>
          <w:rFonts w:eastAsia="Calibri"/>
          <w:color w:val="000000" w:themeColor="text1"/>
          <w:u w:val="single" w:color="000000" w:themeColor="text1"/>
        </w:rPr>
        <w:t>first of th</w:t>
      </w:r>
      <w:r>
        <w:rPr>
          <w:rFonts w:eastAsia="Calibri"/>
          <w:color w:val="000000" w:themeColor="text1"/>
          <w:u w:val="single" w:color="000000" w:themeColor="text1"/>
        </w:rPr>
        <w:t>e second year.</w:t>
      </w:r>
    </w:p>
    <w:p w:rsidR="007916C9" w:rsidRPr="00657E0E"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color="000000" w:themeColor="text1"/>
        </w:rPr>
        <w:t>(2)</w:t>
      </w:r>
      <w:r w:rsidRPr="00A84F60">
        <w:rPr>
          <w:rFonts w:eastAsia="Calibri"/>
          <w:color w:val="000000" w:themeColor="text1"/>
          <w:u w:color="000000" w:themeColor="text1"/>
        </w:rPr>
        <w:tab/>
      </w:r>
      <w:r w:rsidRPr="00657E0E">
        <w:rPr>
          <w:rFonts w:eastAsia="Calibri"/>
          <w:color w:val="000000" w:themeColor="text1"/>
          <w:u w:color="000000" w:themeColor="text1"/>
        </w:rPr>
        <w:t xml:space="preserve">The Governor shall appoint the </w:t>
      </w:r>
      <w:r w:rsidRPr="00657E0E">
        <w:rPr>
          <w:rFonts w:eastAsia="Calibri"/>
          <w:strike/>
          <w:color w:val="000000" w:themeColor="text1"/>
          <w:u w:color="000000" w:themeColor="text1"/>
        </w:rPr>
        <w:t>initial</w:t>
      </w:r>
      <w:r w:rsidRPr="00657E0E">
        <w:rPr>
          <w:rFonts w:eastAsia="Calibri"/>
          <w:color w:val="000000" w:themeColor="text1"/>
          <w:u w:color="000000" w:themeColor="text1"/>
        </w:rPr>
        <w:t xml:space="preserve"> chairman of the committee from the appointed members </w:t>
      </w:r>
      <w:r w:rsidRPr="00657E0E">
        <w:rPr>
          <w:rFonts w:eastAsia="Calibri"/>
          <w:strike/>
          <w:color w:val="000000" w:themeColor="text1"/>
          <w:u w:color="000000" w:themeColor="text1"/>
        </w:rPr>
        <w:t>for a term ending December 31, 2006, and shall appoint subsequent chairs of the committee from the appointed members for two</w:t>
      </w:r>
      <w:r>
        <w:rPr>
          <w:rFonts w:eastAsia="Calibri"/>
          <w:strike/>
          <w:color w:val="000000" w:themeColor="text1"/>
          <w:u w:color="000000" w:themeColor="text1"/>
        </w:rPr>
        <w:noBreakHyphen/>
      </w:r>
      <w:r w:rsidRPr="00657E0E">
        <w:rPr>
          <w:rFonts w:eastAsia="Calibri"/>
          <w:strike/>
          <w:color w:val="000000" w:themeColor="text1"/>
          <w:u w:color="000000" w:themeColor="text1"/>
        </w:rPr>
        <w:t>year terms that expire on December thirty</w:t>
      </w:r>
      <w:r>
        <w:rPr>
          <w:rFonts w:eastAsia="Calibri"/>
          <w:strike/>
          <w:color w:val="000000" w:themeColor="text1"/>
          <w:u w:color="000000" w:themeColor="text1"/>
        </w:rPr>
        <w:noBreakHyphen/>
      </w:r>
      <w:r w:rsidRPr="00657E0E">
        <w:rPr>
          <w:rFonts w:eastAsia="Calibri"/>
          <w:strike/>
          <w:color w:val="000000" w:themeColor="text1"/>
          <w:u w:color="000000" w:themeColor="text1"/>
        </w:rPr>
        <w:t>first of the second year</w:t>
      </w:r>
      <w:r w:rsidRPr="00657E0E">
        <w:rPr>
          <w:rFonts w:eastAsia="Calibri"/>
          <w:color w:val="000000" w:themeColor="text1"/>
          <w:u w:color="000000" w:themeColor="text1"/>
        </w:rPr>
        <w:t>.</w:t>
      </w:r>
    </w:p>
    <w:p w:rsidR="007916C9" w:rsidRPr="00657E0E"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(3)</w:t>
      </w:r>
      <w:r w:rsidRPr="00A84F60">
        <w:rPr>
          <w:rFonts w:eastAsia="Calibri"/>
          <w:color w:val="000000" w:themeColor="text1"/>
          <w:u w:color="000000" w:themeColor="text1"/>
        </w:rPr>
        <w:tab/>
      </w:r>
      <w:r w:rsidRPr="00657E0E">
        <w:rPr>
          <w:rFonts w:eastAsia="Calibri"/>
          <w:color w:val="000000" w:themeColor="text1"/>
          <w:u w:color="000000" w:themeColor="text1"/>
        </w:rPr>
        <w:t xml:space="preserve">The committee shall meet as determined by its chairman </w:t>
      </w:r>
      <w:r w:rsidRPr="00657E0E">
        <w:rPr>
          <w:rFonts w:eastAsia="Calibri"/>
          <w:color w:val="000000" w:themeColor="text1"/>
          <w:u w:val="single" w:color="000000" w:themeColor="text1"/>
        </w:rPr>
        <w:t>but not less frequently than quarterly</w:t>
      </w:r>
      <w:r w:rsidRPr="00683425">
        <w:rPr>
          <w:rFonts w:eastAsia="Calibri"/>
          <w:color w:val="000000" w:themeColor="text1"/>
          <w:u w:color="000000" w:themeColor="text1"/>
        </w:rPr>
        <w:t>.</w:t>
      </w:r>
    </w:p>
    <w:p w:rsidR="007916C9" w:rsidRPr="00657E0E"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(4)</w:t>
      </w:r>
      <w:r w:rsidRPr="00A84F60">
        <w:rPr>
          <w:rFonts w:eastAsia="Calibri"/>
          <w:color w:val="000000" w:themeColor="text1"/>
          <w:u w:color="000000" w:themeColor="text1"/>
        </w:rPr>
        <w:tab/>
      </w:r>
      <w:r w:rsidRPr="00657E0E">
        <w:rPr>
          <w:rFonts w:eastAsia="Calibri"/>
          <w:color w:val="000000" w:themeColor="text1"/>
          <w:u w:color="000000" w:themeColor="text1"/>
        </w:rPr>
        <w:t>A majority of the voting members of the committee constitutes a quorum to do business. The concurrence of a majority of the members of the committee present and voting is necessary for an action of the committee to be valid.</w:t>
      </w:r>
    </w:p>
    <w:p w:rsidR="007916C9" w:rsidRPr="00657E0E"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t>(5)</w:t>
      </w:r>
      <w:r w:rsidRPr="00A84F60">
        <w:rPr>
          <w:rFonts w:eastAsia="Calibri"/>
          <w:color w:val="000000" w:themeColor="text1"/>
          <w:u w:color="000000" w:themeColor="text1"/>
        </w:rPr>
        <w:tab/>
      </w:r>
      <w:r w:rsidRPr="00657E0E">
        <w:rPr>
          <w:rFonts w:eastAsia="Calibri"/>
          <w:color w:val="000000" w:themeColor="text1"/>
          <w:u w:color="000000" w:themeColor="text1"/>
        </w:rPr>
        <w:t xml:space="preserve">An appointed committee member </w:t>
      </w:r>
      <w:r w:rsidRPr="00657E0E">
        <w:rPr>
          <w:rFonts w:eastAsia="Calibri"/>
          <w:strike/>
          <w:color w:val="000000" w:themeColor="text1"/>
          <w:u w:color="000000" w:themeColor="text1"/>
        </w:rPr>
        <w:t>may not serve more than three consecutive terms.</w:t>
      </w:r>
      <w:r w:rsidRPr="00657E0E">
        <w:rPr>
          <w:rFonts w:eastAsia="Calibri"/>
          <w:color w:val="000000" w:themeColor="text1"/>
          <w:u w:color="000000" w:themeColor="text1"/>
        </w:rPr>
        <w:t xml:space="preserve"> </w:t>
      </w:r>
      <w:r w:rsidRPr="00657E0E">
        <w:rPr>
          <w:rFonts w:eastAsia="Calibri"/>
          <w:color w:val="000000" w:themeColor="text1"/>
          <w:u w:val="single" w:color="000000" w:themeColor="text1"/>
        </w:rPr>
        <w:t>shall not serve consecutively for more than six years.</w:t>
      </w:r>
    </w:p>
    <w:p w:rsidR="007916C9"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A84F60">
        <w:rPr>
          <w:rFonts w:eastAsia="Calibri"/>
          <w:color w:val="000000" w:themeColor="text1"/>
          <w:u w:color="000000" w:themeColor="text1"/>
        </w:rPr>
        <w:tab/>
      </w:r>
      <w:r w:rsidRPr="00A84F60">
        <w:rPr>
          <w:rFonts w:eastAsia="Calibri"/>
          <w:color w:val="000000" w:themeColor="text1"/>
          <w:u w:color="000000" w:themeColor="text1"/>
        </w:rPr>
        <w:tab/>
      </w:r>
      <w:r w:rsidRPr="00657E0E">
        <w:rPr>
          <w:rFonts w:eastAsia="Calibri"/>
          <w:color w:val="000000" w:themeColor="text1"/>
          <w:u w:val="single" w:color="000000" w:themeColor="text1"/>
        </w:rPr>
        <w:t>(6)</w:t>
      </w:r>
      <w:r w:rsidRPr="00A84F60">
        <w:rPr>
          <w:rFonts w:eastAsia="Calibri"/>
          <w:color w:val="000000" w:themeColor="text1"/>
          <w:u w:color="000000" w:themeColor="text1"/>
        </w:rPr>
        <w:tab/>
      </w:r>
      <w:r w:rsidRPr="00657E0E">
        <w:rPr>
          <w:rFonts w:eastAsia="Calibri"/>
          <w:color w:val="000000" w:themeColor="text1"/>
          <w:u w:val="single" w:color="000000" w:themeColor="text1"/>
        </w:rPr>
        <w:t xml:space="preserve">Should a vacancy not be filled by the office holder having appointment authority for more than sixty days, the </w:t>
      </w:r>
      <w:r>
        <w:rPr>
          <w:rFonts w:eastAsia="Calibri"/>
          <w:color w:val="000000" w:themeColor="text1"/>
          <w:u w:val="single" w:color="000000" w:themeColor="text1"/>
        </w:rPr>
        <w:t>c</w:t>
      </w:r>
      <w:r w:rsidRPr="00657E0E">
        <w:rPr>
          <w:rFonts w:eastAsia="Calibri"/>
          <w:color w:val="000000" w:themeColor="text1"/>
          <w:u w:val="single" w:color="000000" w:themeColor="text1"/>
        </w:rPr>
        <w:t xml:space="preserve">ommittee shall submit its properly qualified and vetted candidate to that office holder for consideration. If the office holder fails to select the </w:t>
      </w:r>
      <w:r>
        <w:rPr>
          <w:rFonts w:eastAsia="Calibri"/>
          <w:color w:val="000000" w:themeColor="text1"/>
          <w:u w:val="single" w:color="000000" w:themeColor="text1"/>
        </w:rPr>
        <w:t>c</w:t>
      </w:r>
      <w:r w:rsidRPr="00657E0E">
        <w:rPr>
          <w:rFonts w:eastAsia="Calibri"/>
          <w:color w:val="000000" w:themeColor="text1"/>
          <w:u w:val="single" w:color="000000" w:themeColor="text1"/>
        </w:rPr>
        <w:t>ommittee</w:t>
      </w:r>
      <w:r w:rsidRPr="00C46C25">
        <w:rPr>
          <w:rFonts w:eastAsia="Calibri"/>
          <w:color w:val="000000" w:themeColor="text1"/>
          <w:u w:val="single" w:color="000000" w:themeColor="text1"/>
        </w:rPr>
        <w:t>’</w:t>
      </w:r>
      <w:r w:rsidRPr="00657E0E">
        <w:rPr>
          <w:rFonts w:eastAsia="Calibri"/>
          <w:color w:val="000000" w:themeColor="text1"/>
          <w:u w:val="single" w:color="000000" w:themeColor="text1"/>
        </w:rPr>
        <w:t>s candidate or another person of his choosin</w:t>
      </w:r>
      <w:r>
        <w:rPr>
          <w:rFonts w:eastAsia="Calibri"/>
          <w:color w:val="000000" w:themeColor="text1"/>
          <w:u w:val="single" w:color="000000" w:themeColor="text1"/>
        </w:rPr>
        <w:t>g within thirty days, then the c</w:t>
      </w:r>
      <w:r w:rsidRPr="00657E0E">
        <w:rPr>
          <w:rFonts w:eastAsia="Calibri"/>
          <w:color w:val="000000" w:themeColor="text1"/>
          <w:u w:val="single" w:color="000000" w:themeColor="text1"/>
        </w:rPr>
        <w:t>ommittee</w:t>
      </w:r>
      <w:r w:rsidRPr="00C46C25">
        <w:rPr>
          <w:rFonts w:eastAsia="Calibri"/>
          <w:color w:val="000000" w:themeColor="text1"/>
          <w:u w:val="single" w:color="000000" w:themeColor="text1"/>
        </w:rPr>
        <w:t>’</w:t>
      </w:r>
      <w:r w:rsidRPr="00657E0E">
        <w:rPr>
          <w:rFonts w:eastAsia="Calibri"/>
          <w:color w:val="000000" w:themeColor="text1"/>
          <w:u w:val="single" w:color="000000" w:themeColor="text1"/>
        </w:rPr>
        <w:t>s candidate shall fill the vacant position as if a</w:t>
      </w:r>
      <w:r w:rsidRPr="00A84F60">
        <w:rPr>
          <w:rFonts w:eastAsia="Calibri"/>
          <w:color w:val="000000" w:themeColor="text1"/>
          <w:u w:val="single" w:color="000000" w:themeColor="text1"/>
        </w:rPr>
        <w:t>ppointed by that office holder.</w:t>
      </w:r>
      <w:r w:rsidRPr="005B26B9">
        <w:rPr>
          <w:rFonts w:eastAsia="Calibri"/>
          <w:color w:val="000000" w:themeColor="text1"/>
        </w:rPr>
        <w:t>”</w:t>
      </w:r>
    </w:p>
    <w:p w:rsidR="007916C9"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p>
    <w:p w:rsidR="007916C9"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rPr>
        <w:t>SECTION</w:t>
      </w:r>
      <w:r>
        <w:rPr>
          <w:rFonts w:eastAsia="Calibri"/>
          <w:color w:val="000000" w:themeColor="text1"/>
        </w:rPr>
        <w:tab/>
        <w:t>2.</w:t>
      </w:r>
      <w:r>
        <w:rPr>
          <w:rFonts w:eastAsia="Calibri"/>
          <w:color w:val="000000" w:themeColor="text1"/>
        </w:rPr>
        <w:tab/>
        <w:t xml:space="preserve">Notwithstanding the provisions contained in this act to the contrary as found in </w:t>
      </w:r>
      <w:r w:rsidRPr="00A84F60">
        <w:rPr>
          <w:rFonts w:eastAsia="Times New Roman"/>
          <w:color w:val="000000" w:themeColor="text1"/>
          <w:u w:color="000000" w:themeColor="text1"/>
        </w:rPr>
        <w:t>Section 1</w:t>
      </w:r>
      <w:r>
        <w:rPr>
          <w:rFonts w:eastAsia="Times New Roman"/>
          <w:color w:val="000000" w:themeColor="text1"/>
          <w:u w:color="000000" w:themeColor="text1"/>
        </w:rPr>
        <w:noBreakHyphen/>
      </w:r>
      <w:r w:rsidRPr="00A84F60">
        <w:rPr>
          <w:rFonts w:eastAsia="Times New Roman"/>
          <w:color w:val="000000" w:themeColor="text1"/>
          <w:u w:color="000000" w:themeColor="text1"/>
        </w:rPr>
        <w:t>23</w:t>
      </w:r>
      <w:r>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Calibri"/>
          <w:color w:val="000000" w:themeColor="text1"/>
          <w:u w:color="000000" w:themeColor="text1"/>
        </w:rPr>
        <w:t>(</w:t>
      </w:r>
      <w:r>
        <w:rPr>
          <w:rFonts w:eastAsia="Calibri"/>
          <w:color w:val="000000" w:themeColor="text1"/>
          <w:u w:color="000000" w:themeColor="text1"/>
        </w:rPr>
        <w:t>F</w:t>
      </w:r>
      <w:r w:rsidRPr="00A84F60">
        <w:rPr>
          <w:rFonts w:eastAsia="Calibri"/>
          <w:color w:val="000000" w:themeColor="text1"/>
          <w:u w:color="000000" w:themeColor="text1"/>
        </w:rPr>
        <w:t>)(1)</w:t>
      </w:r>
      <w:r>
        <w:rPr>
          <w:rFonts w:eastAsia="Calibri"/>
          <w:color w:val="000000" w:themeColor="text1"/>
          <w:u w:color="000000" w:themeColor="text1"/>
        </w:rPr>
        <w:t>, as amended by this act, the terms of the members of the committee as of the effective date of this act shall be staggered in the following manner:</w:t>
      </w:r>
    </w:p>
    <w:p w:rsidR="007916C9"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(1)</w:t>
      </w:r>
      <w:r>
        <w:rPr>
          <w:rFonts w:eastAsia="Calibri"/>
          <w:color w:val="000000" w:themeColor="text1"/>
          <w:u w:color="000000" w:themeColor="text1"/>
        </w:rPr>
        <w:tab/>
        <w:t>Of the members appointed by the Governor:</w:t>
      </w:r>
    </w:p>
    <w:p w:rsidR="007916C9"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Pr="00C46C25">
        <w:rPr>
          <w:rFonts w:eastAsia="Calibri"/>
          <w:color w:val="000000" w:themeColor="text1"/>
          <w:u w:color="000000" w:themeColor="text1"/>
        </w:rPr>
        <w:t>’</w:t>
      </w:r>
      <w:r>
        <w:rPr>
          <w:rFonts w:eastAsia="Calibri"/>
          <w:color w:val="000000" w:themeColor="text1"/>
          <w:u w:color="000000" w:themeColor="text1"/>
        </w:rPr>
        <w:t>s term shall expire on December 31, 2016;</w:t>
      </w:r>
    </w:p>
    <w:p w:rsidR="007916C9"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Pr="00C46C25">
        <w:rPr>
          <w:rFonts w:eastAsia="Calibri"/>
          <w:color w:val="000000" w:themeColor="text1"/>
          <w:u w:color="000000" w:themeColor="text1"/>
        </w:rPr>
        <w:t>’</w:t>
      </w:r>
      <w:r>
        <w:rPr>
          <w:rFonts w:eastAsia="Calibri"/>
          <w:color w:val="000000" w:themeColor="text1"/>
          <w:u w:color="000000" w:themeColor="text1"/>
        </w:rPr>
        <w:t>s term shall expire on December 31, 2017;</w:t>
      </w:r>
    </w:p>
    <w:p w:rsidR="007916C9"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Pr="00C46C25">
        <w:rPr>
          <w:rFonts w:eastAsia="Calibri"/>
          <w:color w:val="000000" w:themeColor="text1"/>
          <w:u w:color="000000" w:themeColor="text1"/>
        </w:rPr>
        <w:t>’</w:t>
      </w:r>
      <w:r>
        <w:rPr>
          <w:rFonts w:eastAsia="Calibri"/>
          <w:color w:val="000000" w:themeColor="text1"/>
          <w:u w:color="000000" w:themeColor="text1"/>
        </w:rPr>
        <w:t>s term shall expire on December 31, 2018; and</w:t>
      </w:r>
    </w:p>
    <w:p w:rsidR="007916C9"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(d)</w:t>
      </w:r>
      <w:r>
        <w:rPr>
          <w:rFonts w:eastAsia="Calibri"/>
          <w:color w:val="000000" w:themeColor="text1"/>
          <w:u w:color="000000" w:themeColor="text1"/>
        </w:rPr>
        <w:tab/>
        <w:t>the remaining member</w:t>
      </w:r>
      <w:r w:rsidRPr="00C46C25">
        <w:rPr>
          <w:rFonts w:eastAsia="Calibri"/>
          <w:color w:val="000000" w:themeColor="text1"/>
          <w:u w:color="000000" w:themeColor="text1"/>
        </w:rPr>
        <w:t>’</w:t>
      </w:r>
      <w:r>
        <w:rPr>
          <w:rFonts w:eastAsia="Calibri"/>
          <w:color w:val="000000" w:themeColor="text1"/>
          <w:u w:color="000000" w:themeColor="text1"/>
        </w:rPr>
        <w:t>s terms shall expire on December 31, 2019.</w:t>
      </w:r>
    </w:p>
    <w:p w:rsidR="007916C9"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(2)</w:t>
      </w:r>
      <w:r>
        <w:rPr>
          <w:rFonts w:eastAsia="Calibri"/>
          <w:color w:val="000000" w:themeColor="text1"/>
          <w:u w:color="000000" w:themeColor="text1"/>
        </w:rPr>
        <w:tab/>
        <w:t>Of the members appointed by the President Pro Tempore of the Senate:</w:t>
      </w:r>
    </w:p>
    <w:p w:rsidR="007916C9" w:rsidRDefault="007916C9"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Pr="00C46C25">
        <w:rPr>
          <w:rFonts w:eastAsia="Calibri"/>
          <w:color w:val="000000" w:themeColor="text1"/>
          <w:u w:color="000000" w:themeColor="text1"/>
        </w:rPr>
        <w:t>’</w:t>
      </w:r>
      <w:r>
        <w:rPr>
          <w:rFonts w:eastAsia="Calibri"/>
          <w:color w:val="000000" w:themeColor="text1"/>
          <w:u w:color="000000" w:themeColor="text1"/>
        </w:rPr>
        <w:t>s term shall expire on December 31, 2016;</w:t>
      </w:r>
    </w:p>
    <w:p w:rsidR="007916C9" w:rsidRDefault="007916C9"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Pr="00C46C25">
        <w:rPr>
          <w:rFonts w:eastAsia="Calibri"/>
          <w:color w:val="000000" w:themeColor="text1"/>
          <w:u w:color="000000" w:themeColor="text1"/>
        </w:rPr>
        <w:t>’</w:t>
      </w:r>
      <w:r>
        <w:rPr>
          <w:rFonts w:eastAsia="Calibri"/>
          <w:color w:val="000000" w:themeColor="text1"/>
          <w:u w:color="000000" w:themeColor="text1"/>
        </w:rPr>
        <w:t>s term shall expire on December 31, 2017; and</w:t>
      </w:r>
    </w:p>
    <w:p w:rsidR="007916C9" w:rsidRDefault="007916C9"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p>
    <w:p w:rsidR="007916C9" w:rsidRDefault="007916C9"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(3)</w:t>
      </w:r>
      <w:r>
        <w:rPr>
          <w:rFonts w:eastAsia="Calibri"/>
          <w:color w:val="000000" w:themeColor="text1"/>
          <w:u w:color="000000" w:themeColor="text1"/>
        </w:rPr>
        <w:tab/>
        <w:t>Of the members appointed by the Speaker of the House of Representatives:</w:t>
      </w:r>
    </w:p>
    <w:p w:rsidR="007916C9" w:rsidRDefault="007916C9"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t>one member</w:t>
      </w:r>
      <w:r w:rsidRPr="00C46C25">
        <w:rPr>
          <w:rFonts w:eastAsia="Calibri"/>
          <w:color w:val="000000" w:themeColor="text1"/>
          <w:u w:color="000000" w:themeColor="text1"/>
        </w:rPr>
        <w:t>’</w:t>
      </w:r>
      <w:r>
        <w:rPr>
          <w:rFonts w:eastAsia="Calibri"/>
          <w:color w:val="000000" w:themeColor="text1"/>
          <w:u w:color="000000" w:themeColor="text1"/>
        </w:rPr>
        <w:t>s term shall expire on December 31, 2016;</w:t>
      </w:r>
    </w:p>
    <w:p w:rsidR="007916C9" w:rsidRDefault="007916C9"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t>one member</w:t>
      </w:r>
      <w:r w:rsidRPr="00C46C25">
        <w:rPr>
          <w:rFonts w:eastAsia="Calibri"/>
          <w:color w:val="000000" w:themeColor="text1"/>
          <w:u w:color="000000" w:themeColor="text1"/>
        </w:rPr>
        <w:t>’</w:t>
      </w:r>
      <w:r>
        <w:rPr>
          <w:rFonts w:eastAsia="Calibri"/>
          <w:color w:val="000000" w:themeColor="text1"/>
          <w:u w:color="000000" w:themeColor="text1"/>
        </w:rPr>
        <w:t>s term shall expire on December 31, 2017; and</w:t>
      </w:r>
    </w:p>
    <w:p w:rsidR="007916C9" w:rsidRDefault="007916C9"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t>one member</w:t>
      </w:r>
      <w:r w:rsidRPr="00C46C25">
        <w:rPr>
          <w:rFonts w:eastAsia="Calibri"/>
          <w:color w:val="000000" w:themeColor="text1"/>
          <w:u w:color="000000" w:themeColor="text1"/>
        </w:rPr>
        <w:t>’</w:t>
      </w:r>
      <w:r>
        <w:rPr>
          <w:rFonts w:eastAsia="Calibri"/>
          <w:color w:val="000000" w:themeColor="text1"/>
          <w:u w:color="000000" w:themeColor="text1"/>
        </w:rPr>
        <w:t>s term shall expire on December 31, 2018.</w:t>
      </w:r>
    </w:p>
    <w:p w:rsidR="007916C9" w:rsidRDefault="007916C9" w:rsidP="00FA3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t xml:space="preserve">Upon the expiration of the terms contained in this SECTION the term of office for each member shall be subject to </w:t>
      </w:r>
      <w:r w:rsidRPr="00A84F60">
        <w:rPr>
          <w:rFonts w:eastAsia="Times New Roman"/>
          <w:color w:val="000000" w:themeColor="text1"/>
          <w:u w:color="000000" w:themeColor="text1"/>
        </w:rPr>
        <w:t>Section 1</w:t>
      </w:r>
      <w:r>
        <w:rPr>
          <w:rFonts w:eastAsia="Times New Roman"/>
          <w:color w:val="000000" w:themeColor="text1"/>
          <w:u w:color="000000" w:themeColor="text1"/>
        </w:rPr>
        <w:noBreakHyphen/>
      </w:r>
      <w:r w:rsidRPr="00A84F60">
        <w:rPr>
          <w:rFonts w:eastAsia="Times New Roman"/>
          <w:color w:val="000000" w:themeColor="text1"/>
          <w:u w:color="000000" w:themeColor="text1"/>
        </w:rPr>
        <w:t>23</w:t>
      </w:r>
      <w:r>
        <w:rPr>
          <w:rFonts w:eastAsia="Times New Roman"/>
          <w:color w:val="000000" w:themeColor="text1"/>
          <w:u w:color="000000" w:themeColor="text1"/>
        </w:rPr>
        <w:noBreakHyphen/>
      </w:r>
      <w:r w:rsidRPr="00A84F60">
        <w:rPr>
          <w:rFonts w:eastAsia="Times New Roman"/>
          <w:color w:val="000000" w:themeColor="text1"/>
          <w:u w:color="000000" w:themeColor="text1"/>
        </w:rPr>
        <w:t>280</w:t>
      </w:r>
      <w:r w:rsidRPr="00A84F60">
        <w:rPr>
          <w:rFonts w:eastAsia="Calibri"/>
          <w:color w:val="000000" w:themeColor="text1"/>
          <w:u w:color="000000" w:themeColor="text1"/>
        </w:rPr>
        <w:t>(</w:t>
      </w:r>
      <w:r>
        <w:rPr>
          <w:rFonts w:eastAsia="Calibri"/>
          <w:color w:val="000000" w:themeColor="text1"/>
          <w:u w:color="000000" w:themeColor="text1"/>
        </w:rPr>
        <w:t>F</w:t>
      </w:r>
      <w:r w:rsidRPr="00A84F60">
        <w:rPr>
          <w:rFonts w:eastAsia="Calibri"/>
          <w:color w:val="000000" w:themeColor="text1"/>
          <w:u w:color="000000" w:themeColor="text1"/>
        </w:rPr>
        <w:t>)(1)</w:t>
      </w:r>
      <w:r>
        <w:rPr>
          <w:rFonts w:eastAsia="Calibri"/>
          <w:color w:val="000000" w:themeColor="text1"/>
          <w:u w:color="000000" w:themeColor="text1"/>
        </w:rPr>
        <w:t>.</w:t>
      </w:r>
    </w:p>
    <w:p w:rsidR="007916C9" w:rsidRPr="00657E0E"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7916C9" w:rsidRPr="00522CE0" w:rsidRDefault="007916C9" w:rsidP="00657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7916C9" w:rsidRDefault="007916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02037" w:rsidRDefault="00B02037" w:rsidP="007916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02037" w:rsidSect="008B480D">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425" w:rsidRDefault="00683425" w:rsidP="00522CE0">
      <w:r>
        <w:separator/>
      </w:r>
    </w:p>
  </w:endnote>
  <w:endnote w:type="continuationSeparator" w:id="0">
    <w:p w:rsidR="00683425" w:rsidRDefault="006834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FA51C6-CEDE-4C49-8BE6-3085EF17E311}"/>
    <w:embedBold r:id="rId2" w:fontKey="{52D8FC30-2251-4AFA-A8E8-84594DF73C20}"/>
  </w:font>
  <w:font w:name="Calibri">
    <w:panose1 w:val="020F0502020204030204"/>
    <w:charset w:val="00"/>
    <w:family w:val="swiss"/>
    <w:pitch w:val="variable"/>
    <w:sig w:usb0="E00002FF" w:usb1="4000ACFF" w:usb2="00000001" w:usb3="00000000" w:csb0="0000019F" w:csb1="00000000"/>
    <w:embedRegular r:id="rId3" w:fontKey="{57955DAE-B73A-4E22-8190-96E4AA7E8ACF}"/>
    <w:embedBold r:id="rId4" w:fontKey="{EAA2828C-3AF5-4898-974C-6596C28B998B}"/>
  </w:font>
  <w:font w:name="Cambria">
    <w:panose1 w:val="02040503050406030204"/>
    <w:charset w:val="00"/>
    <w:family w:val="roman"/>
    <w:pitch w:val="variable"/>
    <w:sig w:usb0="E00002FF" w:usb1="400004FF" w:usb2="00000000" w:usb3="00000000" w:csb0="0000019F" w:csb1="00000000"/>
    <w:embedRegular r:id="rId5" w:fontKey="{9467FA08-219B-4620-A935-13BAAD87B6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6C9" w:rsidRPr="00A732B0" w:rsidRDefault="007916C9" w:rsidP="00A732B0">
    <w:pPr>
      <w:pStyle w:val="Footer"/>
      <w:tabs>
        <w:tab w:val="clear" w:pos="4680"/>
        <w:tab w:val="clear" w:pos="9360"/>
        <w:tab w:val="center" w:pos="2995"/>
      </w:tabs>
      <w:spacing w:before="120"/>
    </w:pPr>
    <w:r>
      <w:t>[490-</w:t>
    </w:r>
    <w:r>
      <w:fldChar w:fldCharType="begin"/>
    </w:r>
    <w:r>
      <w:instrText xml:space="preserve"> PAGE  \* MERGEFORMAT </w:instrText>
    </w:r>
    <w:r>
      <w:fldChar w:fldCharType="separate"/>
    </w:r>
    <w:r w:rsidR="00CE38C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480D" w:rsidRPr="00A732B0" w:rsidRDefault="007916C9" w:rsidP="00A732B0">
    <w:pPr>
      <w:pStyle w:val="Footer"/>
      <w:tabs>
        <w:tab w:val="clear" w:pos="4680"/>
        <w:tab w:val="clear" w:pos="9360"/>
        <w:tab w:val="center" w:pos="2995"/>
      </w:tabs>
      <w:spacing w:before="120"/>
    </w:pPr>
    <w:r>
      <w:t>[490]</w:t>
    </w:r>
    <w:r>
      <w:tab/>
    </w:r>
    <w:r>
      <w:fldChar w:fldCharType="begin"/>
    </w:r>
    <w:r>
      <w:instrText xml:space="preserve"> PAGE  \* MERGEFORMAT </w:instrText>
    </w:r>
    <w:r>
      <w:fldChar w:fldCharType="separate"/>
    </w:r>
    <w:r w:rsidR="00CE38C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425" w:rsidRDefault="00683425" w:rsidP="00522CE0">
      <w:r>
        <w:separator/>
      </w:r>
    </w:p>
  </w:footnote>
  <w:footnote w:type="continuationSeparator" w:id="0">
    <w:p w:rsidR="00683425" w:rsidRDefault="006834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SMAL.KSG.TCA"/>
    <w:docVar w:name="CoverAttorneyInitials" w:val="KSG"/>
    <w:docVar w:name="CoverAttorneyLastName" w:val="Kara Grevey"/>
    <w:docVar w:name="CoverBillType" w:val="b"/>
    <w:docVar w:name="CoverSenator" w:val="TCA"/>
    <w:docVar w:name="dvBillNumber" w:val="490"/>
    <w:docVar w:name="dvBillNumberPrefix" w:val="S. "/>
    <w:docVar w:name="dvOriginalBody" w:val="Senate"/>
    <w:docVar w:name="fulldraftpath" w:val="L:\S-RES\TCA\024SMAL.KSG.TCA.DOCX"/>
    <w:docVar w:name="NameofBody" w:val="S"/>
    <w:docVar w:name="vgroup2" w:val="S-RES"/>
  </w:docVars>
  <w:rsids>
    <w:rsidRoot w:val="003E4309"/>
    <w:rsid w:val="00042AC1"/>
    <w:rsid w:val="00046516"/>
    <w:rsid w:val="000650D4"/>
    <w:rsid w:val="0007601D"/>
    <w:rsid w:val="0008043C"/>
    <w:rsid w:val="000A068D"/>
    <w:rsid w:val="000A0771"/>
    <w:rsid w:val="000B0720"/>
    <w:rsid w:val="000B55DF"/>
    <w:rsid w:val="000B5EAF"/>
    <w:rsid w:val="001315B2"/>
    <w:rsid w:val="00170561"/>
    <w:rsid w:val="00186AC9"/>
    <w:rsid w:val="00197DF1"/>
    <w:rsid w:val="001B3DD9"/>
    <w:rsid w:val="001B7E5D"/>
    <w:rsid w:val="001D3BAC"/>
    <w:rsid w:val="00216025"/>
    <w:rsid w:val="00245C4E"/>
    <w:rsid w:val="002C1321"/>
    <w:rsid w:val="002C2031"/>
    <w:rsid w:val="002C5896"/>
    <w:rsid w:val="002D3BED"/>
    <w:rsid w:val="002D7512"/>
    <w:rsid w:val="002F7E4F"/>
    <w:rsid w:val="00307C2B"/>
    <w:rsid w:val="00311E46"/>
    <w:rsid w:val="00383247"/>
    <w:rsid w:val="003D6E2B"/>
    <w:rsid w:val="003E4309"/>
    <w:rsid w:val="003E7597"/>
    <w:rsid w:val="0044020F"/>
    <w:rsid w:val="00450668"/>
    <w:rsid w:val="004813A2"/>
    <w:rsid w:val="004952FA"/>
    <w:rsid w:val="004B6A22"/>
    <w:rsid w:val="004C3FD2"/>
    <w:rsid w:val="004D7F37"/>
    <w:rsid w:val="00522CE0"/>
    <w:rsid w:val="0053386B"/>
    <w:rsid w:val="00565148"/>
    <w:rsid w:val="00570403"/>
    <w:rsid w:val="00593361"/>
    <w:rsid w:val="00596A3A"/>
    <w:rsid w:val="005A413B"/>
    <w:rsid w:val="005A5017"/>
    <w:rsid w:val="005A648C"/>
    <w:rsid w:val="005B26B9"/>
    <w:rsid w:val="005C5BE9"/>
    <w:rsid w:val="005F1745"/>
    <w:rsid w:val="005F3F48"/>
    <w:rsid w:val="00601C1A"/>
    <w:rsid w:val="00657E0E"/>
    <w:rsid w:val="00683425"/>
    <w:rsid w:val="006A1802"/>
    <w:rsid w:val="006A4044"/>
    <w:rsid w:val="006C74EA"/>
    <w:rsid w:val="00720D40"/>
    <w:rsid w:val="007318D4"/>
    <w:rsid w:val="00765784"/>
    <w:rsid w:val="007916C9"/>
    <w:rsid w:val="007A4390"/>
    <w:rsid w:val="007E5CB7"/>
    <w:rsid w:val="008314D2"/>
    <w:rsid w:val="008B2F42"/>
    <w:rsid w:val="008B695C"/>
    <w:rsid w:val="008C3697"/>
    <w:rsid w:val="008E185F"/>
    <w:rsid w:val="008F023B"/>
    <w:rsid w:val="00904E16"/>
    <w:rsid w:val="009162B3"/>
    <w:rsid w:val="00927C62"/>
    <w:rsid w:val="00971C92"/>
    <w:rsid w:val="009827B8"/>
    <w:rsid w:val="00983951"/>
    <w:rsid w:val="00984124"/>
    <w:rsid w:val="00984640"/>
    <w:rsid w:val="00995C37"/>
    <w:rsid w:val="009C118A"/>
    <w:rsid w:val="00A02011"/>
    <w:rsid w:val="00A24968"/>
    <w:rsid w:val="00A4011E"/>
    <w:rsid w:val="00A732B0"/>
    <w:rsid w:val="00A73693"/>
    <w:rsid w:val="00A86015"/>
    <w:rsid w:val="00A9594E"/>
    <w:rsid w:val="00AC22A2"/>
    <w:rsid w:val="00AE59C8"/>
    <w:rsid w:val="00AF392D"/>
    <w:rsid w:val="00B02037"/>
    <w:rsid w:val="00B10098"/>
    <w:rsid w:val="00B5790D"/>
    <w:rsid w:val="00B945C5"/>
    <w:rsid w:val="00BA20EA"/>
    <w:rsid w:val="00BB5AFC"/>
    <w:rsid w:val="00BC0A56"/>
    <w:rsid w:val="00BD6F6C"/>
    <w:rsid w:val="00C06FD3"/>
    <w:rsid w:val="00C32CE3"/>
    <w:rsid w:val="00C45366"/>
    <w:rsid w:val="00C46C25"/>
    <w:rsid w:val="00C57023"/>
    <w:rsid w:val="00C60ABA"/>
    <w:rsid w:val="00C74052"/>
    <w:rsid w:val="00CB187A"/>
    <w:rsid w:val="00CC0EC7"/>
    <w:rsid w:val="00CD65F4"/>
    <w:rsid w:val="00CE38C7"/>
    <w:rsid w:val="00D1088B"/>
    <w:rsid w:val="00D14DE6"/>
    <w:rsid w:val="00D156D2"/>
    <w:rsid w:val="00D35486"/>
    <w:rsid w:val="00D53E29"/>
    <w:rsid w:val="00D7641C"/>
    <w:rsid w:val="00D84D19"/>
    <w:rsid w:val="00D86943"/>
    <w:rsid w:val="00DA47B9"/>
    <w:rsid w:val="00DE2408"/>
    <w:rsid w:val="00DE5635"/>
    <w:rsid w:val="00E058D3"/>
    <w:rsid w:val="00E14D96"/>
    <w:rsid w:val="00E202D3"/>
    <w:rsid w:val="00E76AD9"/>
    <w:rsid w:val="00E91E2F"/>
    <w:rsid w:val="00EA3546"/>
    <w:rsid w:val="00EB47AE"/>
    <w:rsid w:val="00EC2A61"/>
    <w:rsid w:val="00EC34E1"/>
    <w:rsid w:val="00F0234A"/>
    <w:rsid w:val="00F05CF2"/>
    <w:rsid w:val="00F51241"/>
    <w:rsid w:val="00F52959"/>
    <w:rsid w:val="00F55884"/>
    <w:rsid w:val="00FA39CA"/>
    <w:rsid w:val="00FB7F01"/>
    <w:rsid w:val="00FC0D36"/>
    <w:rsid w:val="00FD68C9"/>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5:docId w15:val="{0D10E2B2-C531-44B8-9E53-2984987EE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020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29-15.docx" TargetMode="External"/><Relationship Id="rId13" Type="http://schemas.openxmlformats.org/officeDocument/2006/relationships/hyperlink" Target="file:///h:\HJ%20Archive\2015\05-05-15.docx" TargetMode="External"/><Relationship Id="rId18" Type="http://schemas.openxmlformats.org/officeDocument/2006/relationships/hyperlink" Target="file:///p:\pprever\2015-16\490_20150226.docx"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file:///p:\pprever\2015-16\490_20150504.docx" TargetMode="External"/><Relationship Id="rId7" Type="http://schemas.openxmlformats.org/officeDocument/2006/relationships/hyperlink" Target="file:///h:\SJ%20Archive\2015\02-26-15.docx" TargetMode="External"/><Relationship Id="rId12" Type="http://schemas.openxmlformats.org/officeDocument/2006/relationships/hyperlink" Target="file:///h:\SJ%20Archive\2015\05-05-15.docx" TargetMode="External"/><Relationship Id="rId17" Type="http://schemas.openxmlformats.org/officeDocument/2006/relationships/hyperlink" Target="http://www.scstatehouse.gov/billsearch.php?billnumbers=490&amp;session=121&amp;summary=B"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file:///h:\HJ%20Archive\2016\02-09-16.docx" TargetMode="External"/><Relationship Id="rId20" Type="http://schemas.openxmlformats.org/officeDocument/2006/relationships/hyperlink" Target="file:///p:\pprever\2015-16\490_20150430.docx" TargetMode="External"/><Relationship Id="rId1" Type="http://schemas.openxmlformats.org/officeDocument/2006/relationships/styles" Target="styles.xml"/><Relationship Id="rId6" Type="http://schemas.openxmlformats.org/officeDocument/2006/relationships/hyperlink" Target="file:///h:\SJ%20Archive\2015\02-26-15.docx" TargetMode="External"/><Relationship Id="rId11" Type="http://schemas.openxmlformats.org/officeDocument/2006/relationships/hyperlink" Target="file:///h:\SJ%20Archive\2015\05-04-15.docx"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file:///h:\HJ%20Archive\2016\02-09-16.docx" TargetMode="External"/><Relationship Id="rId23" Type="http://schemas.openxmlformats.org/officeDocument/2006/relationships/footer" Target="footer1.xml"/><Relationship Id="rId10" Type="http://schemas.openxmlformats.org/officeDocument/2006/relationships/hyperlink" Target="file:///h:\SJ%20Archive\2015\05-04-15.docx" TargetMode="External"/><Relationship Id="rId19" Type="http://schemas.openxmlformats.org/officeDocument/2006/relationships/hyperlink" Target="file:///p:\pprever\2015-16\490_20150429.docx" TargetMode="External"/><Relationship Id="rId4" Type="http://schemas.openxmlformats.org/officeDocument/2006/relationships/footnotes" Target="footnotes.xml"/><Relationship Id="rId9" Type="http://schemas.openxmlformats.org/officeDocument/2006/relationships/hyperlink" Target="file:///h:\SJ%20Archive\2015\05-04-15.docx" TargetMode="External"/><Relationship Id="rId14" Type="http://schemas.openxmlformats.org/officeDocument/2006/relationships/hyperlink" Target="file:///h:\HJ%20Archive\2015\05-05-15.docx" TargetMode="External"/><Relationship Id="rId22" Type="http://schemas.openxmlformats.org/officeDocument/2006/relationships/hyperlink" Target="file:///p:\pprever\2015-16\490_2015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1824</Words>
  <Characters>10398</Characters>
  <Application>Microsoft Office Word</Application>
  <DocSecurity>6</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490: Small Business Regulatory Review Committee - South Carolina Legislature Online</dc:title>
  <dc:subject/>
  <dc:creator>%USERNAME%</dc:creator>
  <cp:keywords/>
  <dc:description/>
  <cp:lastModifiedBy>N Cumfer</cp:lastModifiedBy>
  <cp:revision>2</cp:revision>
  <dcterms:created xsi:type="dcterms:W3CDTF">2016-12-02T17:04:00Z</dcterms:created>
  <dcterms:modified xsi:type="dcterms:W3CDTF">2016-12-02T17:04:00Z</dcterms:modified>
</cp:coreProperties>
</file>