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3435B">
        <w:rPr>
          <w:rFonts w:eastAsia="Times New Roman" w:cs="Times New Roman"/>
          <w:b/>
          <w:szCs w:val="20"/>
        </w:rPr>
        <w:t>South Carolina General Assembly</w:t>
      </w: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35B">
        <w:rPr>
          <w:rFonts w:eastAsia="Times New Roman" w:cs="Times New Roman"/>
          <w:szCs w:val="20"/>
        </w:rPr>
        <w:t>121st Session, 2015-2016</w:t>
      </w: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35B" w:rsidRPr="00F3435B" w:rsidRDefault="00CE70D6"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A191, R194, S978</w:t>
      </w: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35B">
        <w:rPr>
          <w:rFonts w:eastAsia="Times New Roman" w:cs="Times New Roman"/>
          <w:b/>
          <w:szCs w:val="20"/>
        </w:rPr>
        <w:t>STATUS INFORMATION</w:t>
      </w: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35B">
        <w:rPr>
          <w:rFonts w:eastAsia="Times New Roman" w:cs="Times New Roman"/>
          <w:szCs w:val="20"/>
        </w:rPr>
        <w:t>General Bill</w:t>
      </w: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35B">
        <w:rPr>
          <w:rFonts w:eastAsia="Times New Roman" w:cs="Times New Roman"/>
          <w:szCs w:val="20"/>
        </w:rPr>
        <w:t>Sponsors: Senator Hayes</w:t>
      </w: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35B">
        <w:rPr>
          <w:rFonts w:eastAsia="Times New Roman" w:cs="Times New Roman"/>
          <w:szCs w:val="20"/>
        </w:rPr>
        <w:t>Document Path: l:\council\bills\nbd\11153cz16.docx</w:t>
      </w: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03D4" w:rsidRDefault="004203D4"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2016</w:t>
      </w:r>
    </w:p>
    <w:p w:rsidR="004203D4" w:rsidRDefault="004203D4"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2016</w:t>
      </w:r>
    </w:p>
    <w:p w:rsidR="004203D4" w:rsidRDefault="004203D4"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4203D4" w:rsidRDefault="004203D4"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26, 2016, Signed</w:t>
      </w:r>
    </w:p>
    <w:p w:rsidR="004203D4" w:rsidRDefault="004203D4"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35B">
        <w:rPr>
          <w:rFonts w:eastAsia="Times New Roman" w:cs="Times New Roman"/>
          <w:szCs w:val="20"/>
        </w:rPr>
        <w:t>Summary: Risk-based capital plans</w:t>
      </w: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35B" w:rsidRPr="00F3435B" w:rsidRDefault="00F3435B" w:rsidP="00F3435B">
      <w:pPr>
        <w:widowControl w:val="0"/>
        <w:tabs>
          <w:tab w:val="center" w:pos="590"/>
          <w:tab w:val="center" w:pos="1440"/>
          <w:tab w:val="left" w:pos="1872"/>
          <w:tab w:val="left" w:pos="9187"/>
        </w:tabs>
        <w:rPr>
          <w:rFonts w:eastAsia="Times New Roman" w:cs="Times New Roman"/>
          <w:szCs w:val="20"/>
        </w:rPr>
      </w:pPr>
      <w:r w:rsidRPr="00F3435B">
        <w:rPr>
          <w:rFonts w:eastAsia="Times New Roman" w:cs="Times New Roman"/>
          <w:b/>
          <w:szCs w:val="20"/>
        </w:rPr>
        <w:t>HISTORY OF LEGISLATIVE ACTIONS</w:t>
      </w:r>
    </w:p>
    <w:p w:rsidR="00F3435B" w:rsidRPr="00F3435B" w:rsidRDefault="00F3435B" w:rsidP="00F3435B">
      <w:pPr>
        <w:widowControl w:val="0"/>
        <w:tabs>
          <w:tab w:val="center" w:pos="590"/>
          <w:tab w:val="center" w:pos="1440"/>
          <w:tab w:val="left" w:pos="1872"/>
          <w:tab w:val="left" w:pos="9187"/>
        </w:tabs>
        <w:rPr>
          <w:rFonts w:eastAsia="Times New Roman" w:cs="Times New Roman"/>
          <w:szCs w:val="20"/>
        </w:rPr>
      </w:pPr>
    </w:p>
    <w:p w:rsidR="00F3435B" w:rsidRPr="00F3435B" w:rsidRDefault="00F3435B" w:rsidP="00F3435B">
      <w:pPr>
        <w:widowControl w:val="0"/>
        <w:tabs>
          <w:tab w:val="center" w:pos="590"/>
          <w:tab w:val="center" w:pos="1440"/>
          <w:tab w:val="left" w:pos="1872"/>
          <w:tab w:val="left" w:pos="9187"/>
        </w:tabs>
        <w:rPr>
          <w:rFonts w:eastAsia="Times New Roman" w:cs="Times New Roman"/>
          <w:szCs w:val="20"/>
        </w:rPr>
      </w:pPr>
      <w:r w:rsidRPr="00F3435B">
        <w:rPr>
          <w:rFonts w:eastAsia="Times New Roman" w:cs="Times New Roman"/>
          <w:szCs w:val="20"/>
          <w:u w:val="single"/>
        </w:rPr>
        <w:tab/>
        <w:t>Date</w:t>
      </w:r>
      <w:r w:rsidRPr="00F3435B">
        <w:rPr>
          <w:rFonts w:eastAsia="Times New Roman" w:cs="Times New Roman"/>
          <w:szCs w:val="20"/>
          <w:u w:val="single"/>
        </w:rPr>
        <w:tab/>
        <w:t>Body</w:t>
      </w:r>
      <w:r w:rsidRPr="00F3435B">
        <w:rPr>
          <w:rFonts w:eastAsia="Times New Roman" w:cs="Times New Roman"/>
          <w:szCs w:val="20"/>
          <w:u w:val="single"/>
        </w:rPr>
        <w:tab/>
        <w:t>Action Description with journal page number</w:t>
      </w:r>
      <w:r w:rsidRPr="00F3435B">
        <w:rPr>
          <w:rFonts w:eastAsia="Times New Roman" w:cs="Times New Roman"/>
          <w:szCs w:val="20"/>
          <w:u w:val="single"/>
        </w:rPr>
        <w:tab/>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083D19">
        <w:rPr>
          <w:rFonts w:cs="Times New Roman"/>
        </w:rPr>
        <w:t>Introduced and read first time (</w:t>
      </w:r>
      <w:hyperlink r:id="rId6" w:history="1">
        <w:r w:rsidRPr="00C859D1">
          <w:rPr>
            <w:rStyle w:val="Hyperlink"/>
            <w:rFonts w:cs="Times New Roman"/>
          </w:rPr>
          <w:t>Senate Journal</w:t>
        </w:r>
        <w:r w:rsidRPr="00C859D1">
          <w:rPr>
            <w:rStyle w:val="Hyperlink"/>
            <w:rFonts w:cs="Times New Roman"/>
          </w:rPr>
          <w:noBreakHyphen/>
          <w:t>page 51</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083D19">
        <w:rPr>
          <w:rFonts w:cs="Times New Roman"/>
        </w:rPr>
        <w:t>Referred to Com</w:t>
      </w:r>
      <w:r>
        <w:rPr>
          <w:rFonts w:cs="Times New Roman"/>
        </w:rPr>
        <w:t xml:space="preserve">mittee on </w:t>
      </w:r>
      <w:r w:rsidRPr="00083D19">
        <w:rPr>
          <w:rFonts w:cs="Times New Roman"/>
          <w:b/>
        </w:rPr>
        <w:t>Banking and Insurance</w:t>
      </w:r>
      <w:r>
        <w:rPr>
          <w:rFonts w:cs="Times New Roman"/>
        </w:rPr>
        <w:t xml:space="preserve"> </w:t>
      </w:r>
      <w:r w:rsidRPr="00083D19">
        <w:rPr>
          <w:rFonts w:cs="Times New Roman"/>
        </w:rPr>
        <w:t>(</w:t>
      </w:r>
      <w:hyperlink r:id="rId7" w:history="1">
        <w:r w:rsidRPr="00C859D1">
          <w:rPr>
            <w:rStyle w:val="Hyperlink"/>
            <w:rFonts w:cs="Times New Roman"/>
          </w:rPr>
          <w:t>Senate Journal</w:t>
        </w:r>
        <w:r w:rsidRPr="00C859D1">
          <w:rPr>
            <w:rStyle w:val="Hyperlink"/>
            <w:rFonts w:cs="Times New Roman"/>
          </w:rPr>
          <w:noBreakHyphen/>
          <w:t>page 51</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Senate</w:t>
      </w:r>
      <w:r>
        <w:rPr>
          <w:rFonts w:cs="Times New Roman"/>
        </w:rPr>
        <w:tab/>
      </w:r>
      <w:r w:rsidRPr="00083D19">
        <w:rPr>
          <w:rFonts w:cs="Times New Roman"/>
        </w:rPr>
        <w:t xml:space="preserve">Committee report: </w:t>
      </w:r>
      <w:r>
        <w:rPr>
          <w:rFonts w:cs="Times New Roman"/>
        </w:rPr>
        <w:t xml:space="preserve">Favorable </w:t>
      </w:r>
      <w:r w:rsidRPr="00083D19">
        <w:rPr>
          <w:rFonts w:cs="Times New Roman"/>
          <w:b/>
        </w:rPr>
        <w:t>Banking and Insurance</w:t>
      </w:r>
      <w:r>
        <w:rPr>
          <w:rFonts w:cs="Times New Roman"/>
        </w:rPr>
        <w:t xml:space="preserve"> </w:t>
      </w:r>
      <w:r w:rsidRPr="00083D19">
        <w:rPr>
          <w:rFonts w:cs="Times New Roman"/>
        </w:rPr>
        <w:t>(</w:t>
      </w:r>
      <w:hyperlink r:id="rId8" w:history="1">
        <w:r w:rsidRPr="00C859D1">
          <w:rPr>
            <w:rStyle w:val="Hyperlink"/>
            <w:rFonts w:cs="Times New Roman"/>
          </w:rPr>
          <w:t>Senate Journal</w:t>
        </w:r>
        <w:r w:rsidRPr="00C859D1">
          <w:rPr>
            <w:rStyle w:val="Hyperlink"/>
            <w:rFonts w:cs="Times New Roman"/>
          </w:rPr>
          <w:noBreakHyphen/>
          <w:t>page 11</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r>
      <w:r>
        <w:rPr>
          <w:rFonts w:cs="Times New Roman"/>
        </w:rPr>
        <w:tab/>
      </w:r>
      <w:r w:rsidRPr="00083D19">
        <w:rPr>
          <w:rFonts w:cs="Times New Roman"/>
        </w:rPr>
        <w:t>Scrivener's error corrected</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083D19">
        <w:rPr>
          <w:rFonts w:cs="Times New Roman"/>
        </w:rPr>
        <w:t>Read second time (</w:t>
      </w:r>
      <w:hyperlink r:id="rId9" w:history="1">
        <w:r w:rsidRPr="00C859D1">
          <w:rPr>
            <w:rStyle w:val="Hyperlink"/>
            <w:rFonts w:cs="Times New Roman"/>
          </w:rPr>
          <w:t>Senate Journal</w:t>
        </w:r>
        <w:r w:rsidRPr="00C859D1">
          <w:rPr>
            <w:rStyle w:val="Hyperlink"/>
            <w:rFonts w:cs="Times New Roman"/>
          </w:rPr>
          <w:noBreakHyphen/>
          <w:t>page 12</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083D19">
        <w:rPr>
          <w:rFonts w:cs="Times New Roman"/>
        </w:rPr>
        <w:t>Roll call Ayes</w:t>
      </w:r>
      <w:r>
        <w:rPr>
          <w:rFonts w:cs="Times New Roman"/>
        </w:rPr>
        <w:noBreakHyphen/>
      </w:r>
      <w:r w:rsidRPr="00083D19">
        <w:rPr>
          <w:rFonts w:cs="Times New Roman"/>
        </w:rPr>
        <w:t>42  Nays</w:t>
      </w:r>
      <w:r>
        <w:rPr>
          <w:rFonts w:cs="Times New Roman"/>
        </w:rPr>
        <w:noBreakHyphen/>
      </w:r>
      <w:r w:rsidRPr="00083D19">
        <w:rPr>
          <w:rFonts w:cs="Times New Roman"/>
        </w:rPr>
        <w:t>0 (</w:t>
      </w:r>
      <w:hyperlink r:id="rId10" w:history="1">
        <w:r w:rsidRPr="00C859D1">
          <w:rPr>
            <w:rStyle w:val="Hyperlink"/>
            <w:rFonts w:cs="Times New Roman"/>
          </w:rPr>
          <w:t>Senate Journal</w:t>
        </w:r>
        <w:r w:rsidRPr="00C859D1">
          <w:rPr>
            <w:rStyle w:val="Hyperlink"/>
            <w:rFonts w:cs="Times New Roman"/>
          </w:rPr>
          <w:noBreakHyphen/>
          <w:t>page 12</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Senate</w:t>
      </w:r>
      <w:r>
        <w:rPr>
          <w:rFonts w:cs="Times New Roman"/>
        </w:rPr>
        <w:tab/>
      </w:r>
      <w:r w:rsidRPr="00083D19">
        <w:rPr>
          <w:rFonts w:cs="Times New Roman"/>
        </w:rPr>
        <w:t>Re</w:t>
      </w:r>
      <w:r>
        <w:rPr>
          <w:rFonts w:cs="Times New Roman"/>
        </w:rPr>
        <w:t xml:space="preserve">ad third time and sent to House </w:t>
      </w:r>
      <w:r w:rsidRPr="00083D19">
        <w:rPr>
          <w:rFonts w:cs="Times New Roman"/>
        </w:rPr>
        <w:t>(</w:t>
      </w:r>
      <w:hyperlink r:id="rId11" w:history="1">
        <w:r w:rsidRPr="00C859D1">
          <w:rPr>
            <w:rStyle w:val="Hyperlink"/>
            <w:rFonts w:cs="Times New Roman"/>
          </w:rPr>
          <w:t>Senate Journal</w:t>
        </w:r>
        <w:r w:rsidRPr="00C859D1">
          <w:rPr>
            <w:rStyle w:val="Hyperlink"/>
            <w:rFonts w:cs="Times New Roman"/>
          </w:rPr>
          <w:noBreakHyphen/>
          <w:t>page 9</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083D19">
        <w:rPr>
          <w:rFonts w:cs="Times New Roman"/>
        </w:rPr>
        <w:t>Introduced and read first time (</w:t>
      </w:r>
      <w:hyperlink r:id="rId12" w:history="1">
        <w:r w:rsidRPr="00C859D1">
          <w:rPr>
            <w:rStyle w:val="Hyperlink"/>
            <w:rFonts w:cs="Times New Roman"/>
          </w:rPr>
          <w:t>House Journal</w:t>
        </w:r>
        <w:r w:rsidRPr="00C859D1">
          <w:rPr>
            <w:rStyle w:val="Hyperlink"/>
            <w:rFonts w:cs="Times New Roman"/>
          </w:rPr>
          <w:noBreakHyphen/>
          <w:t>page 20</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083D19">
        <w:rPr>
          <w:rFonts w:cs="Times New Roman"/>
        </w:rPr>
        <w:t>Referred to C</w:t>
      </w:r>
      <w:r>
        <w:rPr>
          <w:rFonts w:cs="Times New Roman"/>
        </w:rPr>
        <w:t xml:space="preserve">ommittee on </w:t>
      </w:r>
      <w:r w:rsidRPr="00083D19">
        <w:rPr>
          <w:rFonts w:cs="Times New Roman"/>
          <w:b/>
        </w:rPr>
        <w:t>Labor, Commerce and Industry</w:t>
      </w:r>
      <w:r w:rsidRPr="00083D19">
        <w:rPr>
          <w:rFonts w:cs="Times New Roman"/>
        </w:rPr>
        <w:t xml:space="preserve"> (</w:t>
      </w:r>
      <w:hyperlink r:id="rId13" w:history="1">
        <w:r w:rsidRPr="00C859D1">
          <w:rPr>
            <w:rStyle w:val="Hyperlink"/>
            <w:rFonts w:cs="Times New Roman"/>
          </w:rPr>
          <w:t>House Journal</w:t>
        </w:r>
        <w:r w:rsidRPr="00C859D1">
          <w:rPr>
            <w:rStyle w:val="Hyperlink"/>
            <w:rFonts w:cs="Times New Roman"/>
          </w:rPr>
          <w:noBreakHyphen/>
          <w:t>page 20</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083D19">
        <w:rPr>
          <w:rFonts w:cs="Times New Roman"/>
        </w:rPr>
        <w:t>Committee report</w:t>
      </w:r>
      <w:r>
        <w:rPr>
          <w:rFonts w:cs="Times New Roman"/>
        </w:rPr>
        <w:t xml:space="preserve">: Favorable </w:t>
      </w:r>
      <w:r w:rsidRPr="00083D19">
        <w:rPr>
          <w:rFonts w:cs="Times New Roman"/>
          <w:b/>
        </w:rPr>
        <w:t>Labor, Commerce and Industry</w:t>
      </w:r>
      <w:r w:rsidRPr="00083D19">
        <w:rPr>
          <w:rFonts w:cs="Times New Roman"/>
        </w:rPr>
        <w:t xml:space="preserve"> (</w:t>
      </w:r>
      <w:hyperlink r:id="rId14" w:history="1">
        <w:r w:rsidRPr="00C859D1">
          <w:rPr>
            <w:rStyle w:val="Hyperlink"/>
            <w:rFonts w:cs="Times New Roman"/>
          </w:rPr>
          <w:t>House Journal</w:t>
        </w:r>
        <w:r w:rsidRPr="00C859D1">
          <w:rPr>
            <w:rStyle w:val="Hyperlink"/>
            <w:rFonts w:cs="Times New Roman"/>
          </w:rPr>
          <w:noBreakHyphen/>
          <w:t>page 157</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083D19">
        <w:rPr>
          <w:rFonts w:cs="Times New Roman"/>
        </w:rPr>
        <w:t>Read second time (</w:t>
      </w:r>
      <w:hyperlink r:id="rId15" w:history="1">
        <w:r w:rsidRPr="00C859D1">
          <w:rPr>
            <w:rStyle w:val="Hyperlink"/>
            <w:rFonts w:cs="Times New Roman"/>
          </w:rPr>
          <w:t>House Journal</w:t>
        </w:r>
        <w:r w:rsidRPr="00C859D1">
          <w:rPr>
            <w:rStyle w:val="Hyperlink"/>
            <w:rFonts w:cs="Times New Roman"/>
          </w:rPr>
          <w:noBreakHyphen/>
          <w:t>page 39</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083D19">
        <w:rPr>
          <w:rFonts w:cs="Times New Roman"/>
        </w:rPr>
        <w:t>Roll call Yeas</w:t>
      </w:r>
      <w:r>
        <w:rPr>
          <w:rFonts w:cs="Times New Roman"/>
        </w:rPr>
        <w:noBreakHyphen/>
      </w:r>
      <w:r w:rsidRPr="00083D19">
        <w:rPr>
          <w:rFonts w:cs="Times New Roman"/>
        </w:rPr>
        <w:t>108  Nays</w:t>
      </w:r>
      <w:r>
        <w:rPr>
          <w:rFonts w:cs="Times New Roman"/>
        </w:rPr>
        <w:noBreakHyphen/>
      </w:r>
      <w:r w:rsidRPr="00083D19">
        <w:rPr>
          <w:rFonts w:cs="Times New Roman"/>
        </w:rPr>
        <w:t>0 (</w:t>
      </w:r>
      <w:hyperlink r:id="rId16" w:history="1">
        <w:r w:rsidRPr="00C859D1">
          <w:rPr>
            <w:rStyle w:val="Hyperlink"/>
            <w:rFonts w:cs="Times New Roman"/>
          </w:rPr>
          <w:t>House Journal</w:t>
        </w:r>
        <w:r w:rsidRPr="00C859D1">
          <w:rPr>
            <w:rStyle w:val="Hyperlink"/>
            <w:rFonts w:cs="Times New Roman"/>
          </w:rPr>
          <w:noBreakHyphen/>
          <w:t>page 40</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083D19">
        <w:rPr>
          <w:rFonts w:cs="Times New Roman"/>
        </w:rPr>
        <w:t>Read third time and enrolled (</w:t>
      </w:r>
      <w:hyperlink r:id="rId17" w:history="1">
        <w:r w:rsidRPr="00C859D1">
          <w:rPr>
            <w:rStyle w:val="Hyperlink"/>
            <w:rFonts w:cs="Times New Roman"/>
          </w:rPr>
          <w:t>House Journal</w:t>
        </w:r>
        <w:r w:rsidRPr="00C859D1">
          <w:rPr>
            <w:rStyle w:val="Hyperlink"/>
            <w:rFonts w:cs="Times New Roman"/>
          </w:rPr>
          <w:noBreakHyphen/>
          <w:t>page 65</w:t>
        </w:r>
      </w:hyperlink>
      <w:r w:rsidRPr="00083D19">
        <w:rPr>
          <w:rFonts w:cs="Times New Roman"/>
        </w:rPr>
        <w:t>)</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083D19">
        <w:rPr>
          <w:rFonts w:cs="Times New Roman"/>
        </w:rPr>
        <w:t>Ratified R 194</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083D19">
        <w:rPr>
          <w:rFonts w:cs="Times New Roman"/>
        </w:rPr>
        <w:t>Signed By Governor</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083D19">
        <w:rPr>
          <w:rFonts w:cs="Times New Roman"/>
        </w:rPr>
        <w:t>Effective date 01/01/17</w:t>
      </w:r>
    </w:p>
    <w:p w:rsidR="00CE70D6" w:rsidRDefault="00CE70D6" w:rsidP="00CE70D6">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083D19">
        <w:rPr>
          <w:rFonts w:cs="Times New Roman"/>
        </w:rPr>
        <w:t>Act No</w:t>
      </w:r>
      <w:r>
        <w:rPr>
          <w:rFonts w:cs="Times New Roman"/>
        </w:rPr>
        <w:t>. </w:t>
      </w:r>
      <w:r w:rsidRPr="00083D19">
        <w:rPr>
          <w:rFonts w:cs="Times New Roman"/>
        </w:rPr>
        <w:t>191</w:t>
      </w:r>
    </w:p>
    <w:p w:rsidR="00CE70D6" w:rsidRDefault="00CE70D6" w:rsidP="00CE70D6">
      <w:pPr>
        <w:widowControl w:val="0"/>
        <w:tabs>
          <w:tab w:val="right" w:pos="1008"/>
          <w:tab w:val="left" w:pos="1152"/>
          <w:tab w:val="left" w:pos="1872"/>
          <w:tab w:val="left" w:pos="9187"/>
        </w:tabs>
        <w:ind w:left="2088" w:hanging="2088"/>
        <w:rPr>
          <w:rFonts w:cs="Times New Roman"/>
        </w:rPr>
      </w:pPr>
    </w:p>
    <w:p w:rsidR="00F3435B" w:rsidRPr="00F3435B" w:rsidRDefault="00F3435B" w:rsidP="00F3435B">
      <w:pPr>
        <w:widowControl w:val="0"/>
        <w:tabs>
          <w:tab w:val="right" w:pos="1008"/>
          <w:tab w:val="left" w:pos="1152"/>
          <w:tab w:val="left" w:pos="1872"/>
          <w:tab w:val="left" w:pos="9187"/>
        </w:tabs>
        <w:ind w:left="2088" w:hanging="2088"/>
        <w:rPr>
          <w:rFonts w:eastAsia="Times New Roman" w:cs="Times New Roman"/>
          <w:szCs w:val="20"/>
        </w:rPr>
      </w:pPr>
      <w:r w:rsidRPr="00F3435B">
        <w:rPr>
          <w:rFonts w:eastAsia="Times New Roman" w:cs="Times New Roman"/>
          <w:szCs w:val="20"/>
        </w:rPr>
        <w:t xml:space="preserve">View the latest </w:t>
      </w:r>
      <w:hyperlink r:id="rId18" w:history="1">
        <w:r w:rsidRPr="00F3435B">
          <w:rPr>
            <w:rFonts w:eastAsia="Times New Roman" w:cs="Times New Roman"/>
            <w:color w:val="0000FF" w:themeColor="hyperlink"/>
            <w:szCs w:val="20"/>
            <w:u w:val="single"/>
          </w:rPr>
          <w:t>legislative information</w:t>
        </w:r>
      </w:hyperlink>
      <w:r w:rsidRPr="00F3435B">
        <w:rPr>
          <w:rFonts w:eastAsia="Times New Roman" w:cs="Times New Roman"/>
          <w:szCs w:val="20"/>
        </w:rPr>
        <w:t xml:space="preserve"> at the website</w:t>
      </w:r>
    </w:p>
    <w:p w:rsidR="00F3435B" w:rsidRPr="00F3435B" w:rsidRDefault="00F3435B" w:rsidP="00F3435B">
      <w:pPr>
        <w:widowControl w:val="0"/>
        <w:tabs>
          <w:tab w:val="right" w:pos="1008"/>
          <w:tab w:val="left" w:pos="1152"/>
          <w:tab w:val="left" w:pos="1872"/>
          <w:tab w:val="left" w:pos="9187"/>
        </w:tabs>
        <w:ind w:left="2088" w:hanging="2088"/>
        <w:rPr>
          <w:rFonts w:eastAsia="Times New Roman" w:cs="Times New Roman"/>
          <w:szCs w:val="20"/>
        </w:rPr>
      </w:pPr>
    </w:p>
    <w:p w:rsidR="00F3435B" w:rsidRPr="00F3435B" w:rsidRDefault="00F3435B" w:rsidP="00F3435B">
      <w:pPr>
        <w:widowControl w:val="0"/>
        <w:tabs>
          <w:tab w:val="right" w:pos="1008"/>
          <w:tab w:val="left" w:pos="1152"/>
          <w:tab w:val="left" w:pos="1872"/>
          <w:tab w:val="left" w:pos="9187"/>
        </w:tabs>
        <w:ind w:left="2088" w:hanging="2088"/>
        <w:rPr>
          <w:rFonts w:eastAsia="Times New Roman" w:cs="Times New Roman"/>
          <w:szCs w:val="20"/>
        </w:rPr>
      </w:pP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35B">
        <w:rPr>
          <w:rFonts w:eastAsia="Times New Roman" w:cs="Times New Roman"/>
          <w:b/>
          <w:szCs w:val="20"/>
        </w:rPr>
        <w:t>VERSIONS OF THIS BILL</w:t>
      </w:r>
    </w:p>
    <w:p w:rsidR="00F3435B" w:rsidRPr="00F3435B" w:rsidRDefault="00F3435B"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35B" w:rsidRPr="00F3435B" w:rsidRDefault="00C859D1" w:rsidP="00F343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F3435B" w:rsidRPr="00F3435B">
          <w:rPr>
            <w:rFonts w:eastAsia="Times New Roman" w:cs="Times New Roman"/>
            <w:color w:val="0000FF" w:themeColor="hyperlink"/>
            <w:szCs w:val="20"/>
            <w:u w:val="single"/>
          </w:rPr>
          <w:t>1/13/2016</w:t>
        </w:r>
      </w:hyperlink>
    </w:p>
    <w:p w:rsidR="00F3435B" w:rsidRPr="00F3435B" w:rsidRDefault="00C859D1" w:rsidP="00F34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3435B" w:rsidRPr="00F3435B">
          <w:rPr>
            <w:rFonts w:eastAsia="Times New Roman" w:cs="Times New Roman"/>
            <w:color w:val="0000FF" w:themeColor="hyperlink"/>
            <w:szCs w:val="20"/>
            <w:u w:val="single"/>
          </w:rPr>
          <w:t>1/27/2016</w:t>
        </w:r>
      </w:hyperlink>
    </w:p>
    <w:p w:rsidR="00F3435B" w:rsidRPr="00F3435B" w:rsidRDefault="00C859D1" w:rsidP="00F34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3435B" w:rsidRPr="00F3435B">
          <w:rPr>
            <w:rFonts w:eastAsia="Times New Roman" w:cs="Times New Roman"/>
            <w:color w:val="0000FF" w:themeColor="hyperlink"/>
            <w:szCs w:val="20"/>
            <w:u w:val="single"/>
          </w:rPr>
          <w:t>1/28/2016</w:t>
        </w:r>
      </w:hyperlink>
    </w:p>
    <w:p w:rsidR="00F3435B" w:rsidRPr="00F3435B" w:rsidRDefault="00C859D1" w:rsidP="00F34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3435B" w:rsidRPr="00F3435B">
          <w:rPr>
            <w:rFonts w:eastAsia="Times New Roman" w:cs="Times New Roman"/>
            <w:color w:val="0000FF" w:themeColor="hyperlink"/>
            <w:szCs w:val="20"/>
            <w:u w:val="single"/>
          </w:rPr>
          <w:t>5/5/2016</w:t>
        </w:r>
      </w:hyperlink>
    </w:p>
    <w:p w:rsidR="00F3435B" w:rsidRPr="00F3435B" w:rsidRDefault="00F3435B" w:rsidP="00F34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435B" w:rsidRDefault="00F3435B" w:rsidP="00F34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435B" w:rsidSect="00F3435B">
          <w:pgSz w:w="12240" w:h="15840" w:code="1"/>
          <w:pgMar w:top="1080" w:right="1440" w:bottom="1080" w:left="1440" w:header="720" w:footer="720" w:gutter="0"/>
          <w:pgNumType w:start="1"/>
          <w:cols w:space="720"/>
          <w:noEndnote/>
          <w:docGrid w:linePitch="360"/>
        </w:sectPr>
      </w:pP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(A191, R194, S978)</w:t>
      </w:r>
    </w:p>
    <w:p w:rsidR="003516A5" w:rsidRPr="00883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516A5" w:rsidRPr="00F3435B"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435B">
        <w:rPr>
          <w:rFonts w:cs="Times New Roman"/>
          <w:b/>
          <w:color w:val="000000" w:themeColor="text1"/>
          <w:szCs w:val="36"/>
        </w:rPr>
        <w:t xml:space="preserve">AN ACT </w:t>
      </w:r>
      <w:r w:rsidRPr="00F3435B">
        <w:rPr>
          <w:rFonts w:cs="Times New Roman"/>
          <w:b/>
          <w:color w:val="000000" w:themeColor="text1"/>
          <w:u w:color="000000" w:themeColor="text1"/>
        </w:rPr>
        <w:t>TO AMEND SECTION 38</w:t>
      </w:r>
      <w:r w:rsidRPr="00F3435B">
        <w:rPr>
          <w:rFonts w:cs="Times New Roman"/>
          <w:b/>
          <w:color w:val="000000" w:themeColor="text1"/>
          <w:u w:color="000000" w:themeColor="text1"/>
        </w:rPr>
        <w:noBreakHyphen/>
        <w:t>9</w:t>
      </w:r>
      <w:r w:rsidRPr="00F3435B">
        <w:rPr>
          <w:rFonts w:cs="Times New Roman"/>
          <w:b/>
          <w:color w:val="000000" w:themeColor="text1"/>
          <w:u w:color="000000" w:themeColor="text1"/>
        </w:rPr>
        <w:noBreakHyphen/>
        <w:t>330, AS AMENDED, CODE OF LAWS OF SOUTH CAROLINA, 1976, RELATING TO RISK</w:t>
      </w:r>
      <w:r w:rsidRPr="00F3435B">
        <w:rPr>
          <w:rFonts w:cs="Times New Roman"/>
          <w:b/>
          <w:color w:val="000000" w:themeColor="text1"/>
          <w:u w:color="000000" w:themeColor="text1"/>
        </w:rPr>
        <w:noBreakHyphen/>
        <w:t>BASED CAPITAL PLANS, SO AS TO INCREASE THE MULTIPLIER FOR A COMPANY ACTION LEVEL EVENT FOR A LIFE AND HEALTH INSURER FROM 2.5 TO 3.0; TO AMEND SECTION 38</w:t>
      </w:r>
      <w:r w:rsidRPr="00F3435B">
        <w:rPr>
          <w:rFonts w:cs="Times New Roman"/>
          <w:b/>
          <w:color w:val="000000" w:themeColor="text1"/>
          <w:u w:color="000000" w:themeColor="text1"/>
        </w:rPr>
        <w:noBreakHyphen/>
        <w:t>87</w:t>
      </w:r>
      <w:r w:rsidRPr="00F3435B">
        <w:rPr>
          <w:rFonts w:cs="Times New Roman"/>
          <w:b/>
          <w:color w:val="000000" w:themeColor="text1"/>
          <w:u w:color="000000" w:themeColor="text1"/>
        </w:rPr>
        <w:noBreakHyphen/>
        <w:t>30, RELATING TO THE CHARTERING OF A RISK RETENTION GROUP, SO AS TO DEFINE TERMS, TO PROVIDE THAT A MAJORITY OF A RISK RETENTION GROUPS’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w:t>
      </w:r>
      <w:r w:rsidRPr="00F3435B">
        <w:rPr>
          <w:rFonts w:cs="Times New Roman"/>
          <w:b/>
          <w:color w:val="000000" w:themeColor="text1"/>
          <w:u w:color="000000" w:themeColor="text1"/>
        </w:rPr>
        <w:noBreakHyphen/>
        <w:t>87</w:t>
      </w:r>
      <w:r w:rsidRPr="00F3435B">
        <w:rPr>
          <w:rFonts w:cs="Times New Roman"/>
          <w:b/>
          <w:color w:val="000000" w:themeColor="text1"/>
          <w:u w:color="000000" w:themeColor="text1"/>
        </w:rPr>
        <w:noBreakHyphen/>
        <w:t>40, RELATING TO OUT</w:t>
      </w:r>
      <w:r w:rsidRPr="00F3435B">
        <w:rPr>
          <w:rFonts w:cs="Times New Roman"/>
          <w:b/>
          <w:color w:val="000000" w:themeColor="text1"/>
          <w:u w:color="000000" w:themeColor="text1"/>
        </w:rPr>
        <w:noBreakHyphen/>
        <w:t>OF</w:t>
      </w:r>
      <w:r w:rsidRPr="00F3435B">
        <w:rPr>
          <w:rFonts w:cs="Times New Roman"/>
          <w:b/>
          <w:color w:val="000000" w:themeColor="text1"/>
          <w:u w:color="000000" w:themeColor="text1"/>
        </w:rPr>
        <w:noBreakHyphen/>
        <w:t>STATE RISK RETENTION GROUPS, SO AS TO ALLOW AN OUT</w:t>
      </w:r>
      <w:r w:rsidRPr="00F3435B">
        <w:rPr>
          <w:rFonts w:cs="Times New Roman"/>
          <w:b/>
          <w:color w:val="000000" w:themeColor="text1"/>
          <w:u w:color="000000" w:themeColor="text1"/>
        </w:rPr>
        <w:noBreakHyphen/>
        <w:t>OF</w:t>
      </w:r>
      <w:r w:rsidRPr="00F3435B">
        <w:rPr>
          <w:rFonts w:cs="Times New Roman"/>
          <w:b/>
          <w:color w:val="000000" w:themeColor="text1"/>
          <w:u w:color="000000" w:themeColor="text1"/>
        </w:rPr>
        <w:noBreakHyphen/>
        <w:t>STATE RISK RETENTION GROUP TO SUBMIT REVISIONS TO ITS PLAN OF OPERATION WITHIN THIRTY DAYS OF APPROVAL BY THE STATE INSURANCE COMMISSION OR WITHIN THIRTY DAYS IF NO APPROVAL IS REQUIRED; AND TO AMEND SECTION 38</w:t>
      </w:r>
      <w:r w:rsidRPr="00F3435B">
        <w:rPr>
          <w:rFonts w:cs="Times New Roman"/>
          <w:b/>
          <w:color w:val="000000" w:themeColor="text1"/>
          <w:u w:color="000000" w:themeColor="text1"/>
        </w:rPr>
        <w:noBreakHyphen/>
        <w:t>90</w:t>
      </w:r>
      <w:r w:rsidRPr="00F3435B">
        <w:rPr>
          <w:rFonts w:cs="Times New Roman"/>
          <w:b/>
          <w:color w:val="000000" w:themeColor="text1"/>
          <w:u w:color="000000" w:themeColor="text1"/>
        </w:rPr>
        <w:noBreakHyphen/>
        <w:t>160, AS AMENDED, RELATING TO CAPTIVE INSURANCE COMPANIES, SO AS TO EXTEND THE PROVISIONS OF SECTION 38</w:t>
      </w:r>
      <w:r w:rsidRPr="00F3435B">
        <w:rPr>
          <w:rFonts w:cs="Times New Roman"/>
          <w:b/>
          <w:color w:val="000000" w:themeColor="text1"/>
          <w:u w:color="000000" w:themeColor="text1"/>
        </w:rPr>
        <w:noBreakHyphen/>
        <w:t>87</w:t>
      </w:r>
      <w:r w:rsidRPr="00F3435B">
        <w:rPr>
          <w:rFonts w:cs="Times New Roman"/>
          <w:b/>
          <w:color w:val="000000" w:themeColor="text1"/>
          <w:u w:color="000000" w:themeColor="text1"/>
        </w:rPr>
        <w:noBreakHyphen/>
        <w:t xml:space="preserve">30 TO A RISK RETENTION GROUP LICENSED AS A CAPTIVE INSURANCE COMPANY. </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0101">
        <w:rPr>
          <w:rFonts w:cs="Times New Roman"/>
        </w:rPr>
        <w:t>Be it enacted by the General Assembly of the State of South Carolina:</w:t>
      </w: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16A5" w:rsidRPr="001A407C"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Company Action Level multiplier increased to 3.0</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SECTION</w:t>
      </w:r>
      <w:r w:rsidRPr="001C0101">
        <w:rPr>
          <w:rFonts w:cs="Times New Roman"/>
          <w:color w:val="000000" w:themeColor="text1"/>
          <w:u w:color="000000" w:themeColor="text1"/>
        </w:rPr>
        <w:tab/>
        <w:t>1.</w:t>
      </w:r>
      <w:r w:rsidRPr="001C0101">
        <w:rPr>
          <w:rFonts w:cs="Times New Roman"/>
          <w:color w:val="000000" w:themeColor="text1"/>
          <w:u w:color="000000" w:themeColor="text1"/>
        </w:rPr>
        <w:tab/>
        <w:t>Section 38</w:t>
      </w:r>
      <w:r w:rsidRPr="001C0101">
        <w:rPr>
          <w:rFonts w:cs="Times New Roman"/>
          <w:color w:val="000000" w:themeColor="text1"/>
          <w:u w:color="000000" w:themeColor="text1"/>
        </w:rPr>
        <w:noBreakHyphen/>
        <w:t>9</w:t>
      </w:r>
      <w:r w:rsidRPr="001C0101">
        <w:rPr>
          <w:rFonts w:cs="Times New Roman"/>
          <w:color w:val="000000" w:themeColor="text1"/>
          <w:u w:color="000000" w:themeColor="text1"/>
        </w:rPr>
        <w:noBreakHyphen/>
        <w:t xml:space="preserve">330(A)(2) of the 1976 Code is amended to read: </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t>“(2)</w:t>
      </w:r>
      <w:r w:rsidRPr="001C0101">
        <w:rPr>
          <w:rFonts w:cs="Times New Roman"/>
          <w:color w:val="000000" w:themeColor="text1"/>
          <w:u w:color="000000" w:themeColor="text1"/>
        </w:rPr>
        <w:tab/>
        <w:t xml:space="preserve">filing of an RBC Report which indicates that a life and health insurer has Total Adjusted Capital which is greater than, or equal to, its </w:t>
      </w:r>
      <w:r w:rsidRPr="001C0101">
        <w:rPr>
          <w:rFonts w:cs="Times New Roman"/>
          <w:color w:val="000000" w:themeColor="text1"/>
          <w:u w:color="000000" w:themeColor="text1"/>
        </w:rPr>
        <w:lastRenderedPageBreak/>
        <w:t>Company Action Level RBC, but is less than the product of its Authorized Control Level RBC and 3.0 and has a negative trend;”</w:t>
      </w: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Pr="001A407C"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Requirements for chartering of a risk retention group</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SECTION</w:t>
      </w:r>
      <w:r w:rsidRPr="001C0101">
        <w:rPr>
          <w:rFonts w:cs="Times New Roman"/>
          <w:color w:val="000000" w:themeColor="text1"/>
          <w:u w:color="000000" w:themeColor="text1"/>
        </w:rPr>
        <w:tab/>
        <w:t>2.</w:t>
      </w:r>
      <w:r w:rsidRPr="001C0101">
        <w:rPr>
          <w:rFonts w:cs="Times New Roman"/>
          <w:color w:val="000000" w:themeColor="text1"/>
          <w:u w:color="000000" w:themeColor="text1"/>
        </w:rPr>
        <w:tab/>
        <w:t>Section 38</w:t>
      </w:r>
      <w:r w:rsidRPr="001C0101">
        <w:rPr>
          <w:rFonts w:cs="Times New Roman"/>
          <w:color w:val="000000" w:themeColor="text1"/>
          <w:u w:color="000000" w:themeColor="text1"/>
        </w:rPr>
        <w:noBreakHyphen/>
        <w:t>87</w:t>
      </w:r>
      <w:r w:rsidRPr="001C0101">
        <w:rPr>
          <w:rFonts w:cs="Times New Roman"/>
          <w:color w:val="000000" w:themeColor="text1"/>
          <w:u w:color="000000" w:themeColor="text1"/>
        </w:rPr>
        <w:noBreakHyphen/>
        <w:t xml:space="preserve">30 of the 1976 Code is amended to read: </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t>“Section 38</w:t>
      </w:r>
      <w:r w:rsidRPr="001C0101">
        <w:rPr>
          <w:rFonts w:cs="Times New Roman"/>
          <w:color w:val="000000" w:themeColor="text1"/>
          <w:u w:color="000000" w:themeColor="text1"/>
        </w:rPr>
        <w:noBreakHyphen/>
        <w:t>87</w:t>
      </w:r>
      <w:r w:rsidRPr="001C0101">
        <w:rPr>
          <w:rFonts w:cs="Times New Roman"/>
          <w:color w:val="000000" w:themeColor="text1"/>
          <w:u w:color="000000" w:themeColor="text1"/>
        </w:rPr>
        <w:noBreakHyphen/>
        <w:t>30.</w:t>
      </w:r>
      <w:r w:rsidRPr="001C0101">
        <w:rPr>
          <w:rFonts w:cs="Times New Roman"/>
          <w:color w:val="000000" w:themeColor="text1"/>
          <w:u w:color="000000" w:themeColor="text1"/>
        </w:rPr>
        <w:tab/>
        <w:t>(A)</w:t>
      </w:r>
      <w:r w:rsidRPr="001C0101">
        <w:rPr>
          <w:rFonts w:cs="Times New Roman"/>
          <w:color w:val="000000" w:themeColor="text1"/>
          <w:u w:color="000000" w:themeColor="text1"/>
        </w:rPr>
        <w:tab/>
        <w:t>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Pr="001C0101">
        <w:rPr>
          <w:rFonts w:cs="Times New Roman"/>
          <w:color w:val="000000" w:themeColor="text1"/>
          <w:u w:color="000000" w:themeColor="text1"/>
        </w:rPr>
        <w:noBreakHyphen/>
        <w:t>87</w:t>
      </w:r>
      <w:r w:rsidRPr="001C0101">
        <w:rPr>
          <w:rFonts w:cs="Times New Roman"/>
          <w:color w:val="000000" w:themeColor="text1"/>
          <w:u w:color="000000" w:themeColor="text1"/>
        </w:rPr>
        <w:noBreakHyphen/>
        <w:t>40 to the extent these requirements are not a limitation on laws, regulations, or requirements of this State.</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t>(B)</w:t>
      </w:r>
      <w:r w:rsidRPr="001C0101">
        <w:rPr>
          <w:rFonts w:cs="Times New Roman"/>
          <w:color w:val="000000" w:themeColor="text1"/>
          <w:u w:color="000000" w:themeColor="text1"/>
        </w:rPr>
        <w:tab/>
        <w:t>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t>(C)</w:t>
      </w:r>
      <w:r w:rsidRPr="001C0101">
        <w:rPr>
          <w:rFonts w:cs="Times New Roman"/>
          <w:color w:val="000000" w:themeColor="text1"/>
          <w:u w:color="000000" w:themeColor="text1"/>
        </w:rPr>
        <w:tab/>
        <w:t>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Pr="001C0101">
        <w:rPr>
          <w:rFonts w:cs="Times New Roman"/>
          <w:color w:val="000000" w:themeColor="text1"/>
          <w:u w:color="000000" w:themeColor="text1"/>
        </w:rPr>
        <w:noBreakHyphen/>
        <w:t>87</w:t>
      </w:r>
      <w:r w:rsidRPr="001C0101">
        <w:rPr>
          <w:rFonts w:cs="Times New Roman"/>
          <w:color w:val="000000" w:themeColor="text1"/>
          <w:u w:color="000000" w:themeColor="text1"/>
        </w:rPr>
        <w:noBreakHyphen/>
        <w:t>40 or any other provision of this chapter.</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t>(D)(1)</w:t>
      </w:r>
      <w:r w:rsidRPr="001C0101">
        <w:rPr>
          <w:rFonts w:cs="Times New Roman"/>
          <w:color w:val="000000" w:themeColor="text1"/>
          <w:u w:color="000000" w:themeColor="text1"/>
        </w:rPr>
        <w:tab/>
        <w:t>As used in this section:</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(a)</w:t>
      </w:r>
      <w:r w:rsidRPr="001C0101">
        <w:rPr>
          <w:rFonts w:cs="Times New Roman"/>
          <w:color w:val="000000" w:themeColor="text1"/>
          <w:u w:color="000000" w:themeColor="text1"/>
        </w:rPr>
        <w:tab/>
        <w:t>‘Board’ means the governing body of the risk retention group elected by the shareholders or members to establish policy, elect or appoint officers and committees, and make other governing decisions.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(b)</w:t>
      </w:r>
      <w:r w:rsidRPr="001C0101">
        <w:rPr>
          <w:rFonts w:cs="Times New Roman"/>
          <w:color w:val="000000" w:themeColor="text1"/>
          <w:u w:color="000000" w:themeColor="text1"/>
        </w:rPr>
        <w:tab/>
        <w:t xml:space="preserve">‘Director’ means a natural person designated in the articles of the risk retention group or designated, elected, or appointed by any other manner, name, or title to act as a director. </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(c)</w:t>
      </w:r>
      <w:r w:rsidRPr="001C0101">
        <w:rPr>
          <w:rFonts w:cs="Times New Roman"/>
          <w:color w:val="000000" w:themeColor="text1"/>
          <w:u w:color="000000" w:themeColor="text1"/>
        </w:rPr>
        <w:tab/>
        <w:t xml:space="preserve">‘Disclose’ means to make information available through electronic or other means and to provide the information to members and insureds upon request. </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(d)</w:t>
      </w:r>
      <w:r w:rsidRPr="001C0101">
        <w:rPr>
          <w:rFonts w:cs="Times New Roman"/>
          <w:color w:val="000000" w:themeColor="text1"/>
          <w:u w:color="000000" w:themeColor="text1"/>
        </w:rPr>
        <w:tab/>
        <w:t xml:space="preserve">‘Domestic regulator’ means the Director of the South Carolina Department of Insurance or the director’s designee. </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(e)</w:t>
      </w:r>
      <w:r w:rsidRPr="001C0101">
        <w:rPr>
          <w:rFonts w:cs="Times New Roman"/>
          <w:color w:val="000000" w:themeColor="text1"/>
          <w:u w:color="000000" w:themeColor="text1"/>
        </w:rPr>
        <w:tab/>
        <w:t>‘Material relationship’ means a relationship between a person with the risk retention group including, but not limited to:</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 xml:space="preserve">(i) </w:t>
      </w:r>
      <w:r w:rsidRPr="001C0101">
        <w:rPr>
          <w:rFonts w:cs="Times New Roman"/>
          <w:color w:val="000000" w:themeColor="text1"/>
          <w:u w:color="000000" w:themeColor="text1"/>
        </w:rPr>
        <w:tab/>
        <w:t>the receipt in any one twelve</w:t>
      </w:r>
      <w:r>
        <w:rPr>
          <w:rFonts w:cs="Times New Roman"/>
          <w:color w:val="000000" w:themeColor="text1"/>
          <w:u w:color="000000" w:themeColor="text1"/>
        </w:rPr>
        <w:t>-</w:t>
      </w:r>
      <w:r w:rsidRPr="001C0101">
        <w:rPr>
          <w:rFonts w:cs="Times New Roman"/>
          <w:color w:val="000000" w:themeColor="text1"/>
          <w:u w:color="000000" w:themeColor="text1"/>
        </w:rPr>
        <w:t>month period of compensation or payment of any other item of value by the person, a member of his immediate family or a business with which he is affiliated from the risk retention group or a consultant or service provider to the risk retention group that is greater than or equal to five percent of the risk retention group’s gross written premium for this twelve</w:t>
      </w:r>
      <w:r>
        <w:rPr>
          <w:rFonts w:cs="Times New Roman"/>
          <w:color w:val="000000" w:themeColor="text1"/>
          <w:u w:color="000000" w:themeColor="text1"/>
        </w:rPr>
        <w:t>-</w:t>
      </w:r>
      <w:r w:rsidRPr="001C0101">
        <w:rPr>
          <w:rFonts w:cs="Times New Roman"/>
          <w:color w:val="000000" w:themeColor="text1"/>
          <w:u w:color="000000" w:themeColor="text1"/>
        </w:rPr>
        <w:t>month period or two percent of its surplus, whichever is greater, as measured at the end of any fiscal quarter falling in this twelve</w:t>
      </w:r>
      <w:r>
        <w:rPr>
          <w:rFonts w:cs="Times New Roman"/>
          <w:color w:val="000000" w:themeColor="text1"/>
          <w:u w:color="000000" w:themeColor="text1"/>
        </w:rPr>
        <w:t>-</w:t>
      </w:r>
      <w:r w:rsidRPr="001C0101">
        <w:rPr>
          <w:rFonts w:cs="Times New Roman"/>
          <w:color w:val="000000" w:themeColor="text1"/>
          <w:u w:color="000000" w:themeColor="text1"/>
        </w:rPr>
        <w:t xml:space="preserve">month period. The person or his immediate family member is not independent until one year after the compensation from the risk retention group falls below the threshold; </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(ii)</w:t>
      </w:r>
      <w:r w:rsidRPr="001C0101">
        <w:rPr>
          <w:rFonts w:cs="Times New Roman"/>
          <w:color w:val="000000" w:themeColor="text1"/>
          <w:u w:color="000000" w:themeColor="text1"/>
        </w:rPr>
        <w:tab/>
        <w:t>a relationship with an auditor in which a director or an immediate family member of a director who is affiliated with or employed in a professional capacity by a present or former internal or external auditor of the risk retention group is not independent until one year after the end of the affiliation, employment or auditing relationship; or</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(iii)</w:t>
      </w:r>
      <w:r w:rsidRPr="001C0101">
        <w:rPr>
          <w:rFonts w:cs="Times New Roman"/>
          <w:color w:val="000000" w:themeColor="text1"/>
          <w:u w:color="000000" w:themeColor="text1"/>
        </w:rPr>
        <w:tab/>
        <w:t>a relationship with a related entity in which a director or immediate family member of a director who is employed as an executive officer of another company where any of the risk retention group’s present executives serve on that other company’s board of directors is not independent until one year after the end of the service or the employment relationship.</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(f)</w:t>
      </w:r>
      <w:r w:rsidRPr="001C0101">
        <w:rPr>
          <w:rFonts w:cs="Times New Roman"/>
          <w:color w:val="000000" w:themeColor="text1"/>
          <w:u w:color="000000" w:themeColor="text1"/>
        </w:rPr>
        <w:tab/>
        <w:t>‘Service providers’ means captive managers, auditors, accountants, actuaries, investment advisors, lawyers, managing general underwriters, or other parties responsible for underwriting, determination of rates, collection of premium, adjusting and settling claims, or the preparation of financial statements. This term does not include lawyers who serve as defense counsel retained by the risk retention group to defend claims unless the amount of fees paid to these lawyers are greater than or equal to five percent of the risk retention group’s gross written premium for the previous twelve</w:t>
      </w:r>
      <w:r>
        <w:rPr>
          <w:rFonts w:cs="Times New Roman"/>
          <w:color w:val="000000" w:themeColor="text1"/>
          <w:u w:color="000000" w:themeColor="text1"/>
        </w:rPr>
        <w:t>-</w:t>
      </w:r>
      <w:r w:rsidRPr="001C0101">
        <w:rPr>
          <w:rFonts w:cs="Times New Roman"/>
          <w:color w:val="000000" w:themeColor="text1"/>
          <w:u w:color="000000" w:themeColor="text1"/>
        </w:rPr>
        <w:t>month period or two percent of its surplus, whichever is greater as measured at the end of any fiscal quarter falling in this twelve</w:t>
      </w:r>
      <w:r>
        <w:rPr>
          <w:rFonts w:cs="Times New Roman"/>
          <w:color w:val="000000" w:themeColor="text1"/>
          <w:u w:color="000000" w:themeColor="text1"/>
        </w:rPr>
        <w:t>-</w:t>
      </w:r>
      <w:r w:rsidRPr="001C0101">
        <w:rPr>
          <w:rFonts w:cs="Times New Roman"/>
          <w:color w:val="000000" w:themeColor="text1"/>
          <w:u w:color="000000" w:themeColor="text1"/>
        </w:rPr>
        <w:t>month period.</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t>(2)(a)</w:t>
      </w:r>
      <w:r w:rsidRPr="001C0101">
        <w:rPr>
          <w:rFonts w:cs="Times New Roman"/>
          <w:color w:val="000000" w:themeColor="text1"/>
          <w:u w:color="000000" w:themeColor="text1"/>
        </w:rPr>
        <w:tab/>
        <w:t>The board of the risk retention group shall have a majority of independent directors. If the risk retention group is reciprocal, then the attorney</w:t>
      </w:r>
      <w:r w:rsidRPr="001C0101">
        <w:rPr>
          <w:rFonts w:cs="Times New Roman"/>
          <w:color w:val="000000" w:themeColor="text1"/>
          <w:u w:color="000000" w:themeColor="text1"/>
        </w:rPr>
        <w:noBreakHyphen/>
        <w:t>in</w:t>
      </w:r>
      <w:r w:rsidRPr="001C0101">
        <w:rPr>
          <w:rFonts w:cs="Times New Roman"/>
          <w:color w:val="000000" w:themeColor="text1"/>
          <w:u w:color="000000" w:themeColor="text1"/>
        </w:rPr>
        <w:noBreakHyphen/>
        <w:t>fact would be required to adhere to the same standards regarding independence of operation and governance as imposed on the risk retention group’s board and subscribers advisory committee under these standards. To the extent permissible under state law, service providers of a reciprocal risk retention group shall contract with the risk retention group and not the attorney</w:t>
      </w:r>
      <w:r w:rsidRPr="001C0101">
        <w:rPr>
          <w:rFonts w:cs="Times New Roman"/>
          <w:color w:val="000000" w:themeColor="text1"/>
          <w:u w:color="000000" w:themeColor="text1"/>
        </w:rPr>
        <w:noBreakHyphen/>
        <w:t>in</w:t>
      </w:r>
      <w:r w:rsidRPr="001C0101">
        <w:rPr>
          <w:rFonts w:cs="Times New Roman"/>
          <w:color w:val="000000" w:themeColor="text1"/>
          <w:u w:color="000000" w:themeColor="text1"/>
        </w:rPr>
        <w:noBreakHyphen/>
        <w:t>fact.</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(b)</w:t>
      </w:r>
      <w:r w:rsidRPr="001C0101">
        <w:rPr>
          <w:rFonts w:cs="Times New Roman"/>
          <w:color w:val="000000" w:themeColor="text1"/>
          <w:u w:color="000000" w:themeColor="text1"/>
        </w:rPr>
        <w:tab/>
        <w:t>A director does not qualify as independent unless the board affirmatively determines that he has no material relationship with the risk retention group. Each risk retention group annually shall disclose these determinations to its domestic regulator. For this purpose, a person who is a direct or indirect owner or a subscriber in the risk retention group, or is an officer, director, or employee of an owner and insured, unless some other position of the officer, director, or employee constitutes a material relationship, as contemplated by Section 3901(a)(4)(E)(ii) of the Liability Risk Retention Act, is considered to be independent.</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t>(3)(a)</w:t>
      </w:r>
      <w:r w:rsidRPr="001C0101">
        <w:rPr>
          <w:rFonts w:cs="Times New Roman"/>
          <w:color w:val="000000" w:themeColor="text1"/>
          <w:u w:color="000000" w:themeColor="text1"/>
        </w:rPr>
        <w:tab/>
        <w:t>The term of a material service provider contract with the risk retention group must not exceed five years. The contract, or its renewal, must require the approval of the majority of the risk retention group’s independent directors. The risk retention group’s board may terminate a service provider, contract, audit contract, or actuarial contract at any time for cause after providing adequate notice as defined in the contract. The service provider contract is considered material if the amount to be paid for the contract is greater than or equal to five percent of the risk retention group’s annual gross written premium or two percent of its surplus, whichever is greater.</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(b)</w:t>
      </w:r>
      <w:r w:rsidRPr="001C0101">
        <w:rPr>
          <w:rFonts w:cs="Times New Roman"/>
          <w:color w:val="000000" w:themeColor="text1"/>
          <w:u w:color="000000" w:themeColor="text1"/>
        </w:rPr>
        <w:tab/>
        <w:t>A service provider contract meeting the definition of material relationship contained in this section may not be entered unless the risk retention group has notified the domestic regulator in writing of its intention to enter into the transaction at least thirty days prior and the domestic regulator has not disapproved it within the period.</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t>(4)</w:t>
      </w:r>
      <w:r w:rsidRPr="001C0101">
        <w:rPr>
          <w:rFonts w:cs="Times New Roman"/>
          <w:color w:val="000000" w:themeColor="text1"/>
          <w:u w:color="000000" w:themeColor="text1"/>
        </w:rPr>
        <w:tab/>
        <w:t>The risk retention group’s board shall adopt and approve a written policy in the plan of operation that requires the board to:</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(a)</w:t>
      </w:r>
      <w:r w:rsidRPr="001C0101">
        <w:rPr>
          <w:rFonts w:cs="Times New Roman"/>
          <w:color w:val="000000" w:themeColor="text1"/>
          <w:u w:color="000000" w:themeColor="text1"/>
        </w:rPr>
        <w:tab/>
        <w:t>assure all owners and insureds of the risk retention group receive evidence of ownership interest;</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(b)</w:t>
      </w:r>
      <w:r w:rsidRPr="001C0101">
        <w:rPr>
          <w:rFonts w:cs="Times New Roman"/>
          <w:color w:val="000000" w:themeColor="text1"/>
          <w:u w:color="000000" w:themeColor="text1"/>
        </w:rPr>
        <w:tab/>
        <w:t>develop a set of governance standards applicable to the risk retention group;</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(c)</w:t>
      </w:r>
      <w:r w:rsidRPr="001C0101">
        <w:rPr>
          <w:rFonts w:cs="Times New Roman"/>
          <w:color w:val="000000" w:themeColor="text1"/>
          <w:u w:color="000000" w:themeColor="text1"/>
        </w:rPr>
        <w:tab/>
        <w:t>oversee the evaluation of the risk retention group’s management including, but not limited to, the performance of the captive manager, managing general underwriter, or other party responsible for underwriting, determination of rates, collection of premiums, adjusting or settling claims, or the preparation of financial statements;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(d)</w:t>
      </w:r>
      <w:r w:rsidRPr="001C0101">
        <w:rPr>
          <w:rFonts w:cs="Times New Roman"/>
          <w:color w:val="000000" w:themeColor="text1"/>
          <w:u w:color="000000" w:themeColor="text1"/>
        </w:rPr>
        <w:tab/>
        <w:t>review and approve the amount to be paid for all material service providers; and</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(e)</w:t>
      </w:r>
      <w:r w:rsidRPr="001C0101">
        <w:rPr>
          <w:rFonts w:cs="Times New Roman"/>
          <w:color w:val="000000" w:themeColor="text1"/>
          <w:u w:color="000000" w:themeColor="text1"/>
        </w:rPr>
        <w:tab/>
        <w:t>review and approve, at least annually, the:</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 xml:space="preserve">(i) </w:t>
      </w:r>
      <w:r w:rsidRPr="001C0101">
        <w:rPr>
          <w:rFonts w:cs="Times New Roman"/>
          <w:color w:val="000000" w:themeColor="text1"/>
          <w:u w:color="000000" w:themeColor="text1"/>
        </w:rPr>
        <w:tab/>
        <w:t>risk retention group’s goals and objectives relevant to the compensation of officers and service providers;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(ii)</w:t>
      </w:r>
      <w:r w:rsidRPr="001C0101">
        <w:rPr>
          <w:rFonts w:cs="Times New Roman"/>
          <w:color w:val="000000" w:themeColor="text1"/>
          <w:u w:color="000000" w:themeColor="text1"/>
        </w:rPr>
        <w:tab/>
        <w:t>officers and service providers, performance in light of those goals and objectives; and</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(iii)</w:t>
      </w:r>
      <w:r w:rsidRPr="001C0101">
        <w:rPr>
          <w:rFonts w:cs="Times New Roman"/>
          <w:color w:val="000000" w:themeColor="text1"/>
          <w:u w:color="000000" w:themeColor="text1"/>
        </w:rPr>
        <w:tab/>
        <w:t>continued engagement of the officers and material service providers.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t>(5)</w:t>
      </w:r>
      <w:r w:rsidRPr="001C0101">
        <w:rPr>
          <w:rFonts w:cs="Times New Roman"/>
          <w:color w:val="000000" w:themeColor="text1"/>
          <w:u w:color="000000" w:themeColor="text1"/>
        </w:rPr>
        <w:tab/>
        <w:t>The board shall adopt and disclose governance standards by making the following information available through electronic or other means and providing this information to members and insureds upon request:</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(a)</w:t>
      </w:r>
      <w:r w:rsidRPr="001C0101">
        <w:rPr>
          <w:rFonts w:cs="Times New Roman"/>
          <w:color w:val="000000" w:themeColor="text1"/>
          <w:u w:color="000000" w:themeColor="text1"/>
        </w:rPr>
        <w:tab/>
        <w:t>the process by which the directors are elected by the owner and insureds;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(b)</w:t>
      </w:r>
      <w:r w:rsidRPr="001C0101">
        <w:rPr>
          <w:rFonts w:cs="Times New Roman"/>
          <w:color w:val="000000" w:themeColor="text1"/>
          <w:u w:color="000000" w:themeColor="text1"/>
        </w:rPr>
        <w:tab/>
        <w:t>director qualification standards;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(c)</w:t>
      </w:r>
      <w:r w:rsidRPr="001C0101">
        <w:rPr>
          <w:rFonts w:cs="Times New Roman"/>
          <w:color w:val="000000" w:themeColor="text1"/>
          <w:u w:color="000000" w:themeColor="text1"/>
        </w:rPr>
        <w:tab/>
        <w:t>director responsibilities;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(d)</w:t>
      </w:r>
      <w:r w:rsidRPr="001C0101">
        <w:rPr>
          <w:rFonts w:cs="Times New Roman"/>
          <w:color w:val="000000" w:themeColor="text1"/>
          <w:u w:color="000000" w:themeColor="text1"/>
        </w:rPr>
        <w:tab/>
        <w:t>director access to management and, as necessary and appropriate, independent advisors;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(e)</w:t>
      </w:r>
      <w:r w:rsidRPr="001C0101">
        <w:rPr>
          <w:rFonts w:cs="Times New Roman"/>
          <w:color w:val="000000" w:themeColor="text1"/>
          <w:u w:color="000000" w:themeColor="text1"/>
        </w:rPr>
        <w:tab/>
        <w:t>director compensation;</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(f)</w:t>
      </w:r>
      <w:r w:rsidRPr="001C0101">
        <w:rPr>
          <w:rFonts w:cs="Times New Roman"/>
          <w:color w:val="000000" w:themeColor="text1"/>
          <w:u w:color="000000" w:themeColor="text1"/>
        </w:rPr>
        <w:tab/>
        <w:t>director orientation and continuing education;</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(g)</w:t>
      </w:r>
      <w:r w:rsidRPr="001C0101">
        <w:rPr>
          <w:rFonts w:cs="Times New Roman"/>
          <w:color w:val="000000" w:themeColor="text1"/>
          <w:u w:color="000000" w:themeColor="text1"/>
        </w:rPr>
        <w:tab/>
        <w:t>the policies and procedures for management succession; and</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(h)</w:t>
      </w:r>
      <w:r w:rsidRPr="001C0101">
        <w:rPr>
          <w:rFonts w:cs="Times New Roman"/>
          <w:color w:val="000000" w:themeColor="text1"/>
          <w:u w:color="000000" w:themeColor="text1"/>
        </w:rPr>
        <w:tab/>
        <w:t>the policies and procedures for annual performance evaluation of the board.</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t>(6)</w:t>
      </w:r>
      <w:r w:rsidRPr="001C0101">
        <w:rPr>
          <w:rFonts w:cs="Times New Roman"/>
          <w:color w:val="000000" w:themeColor="text1"/>
          <w:u w:color="000000" w:themeColor="text1"/>
        </w:rPr>
        <w:tab/>
        <w:t>The board shall adopt and disclose a code of business conduct and ethics for directors, officers, and employees and promptly disclose to the board of directors any waivers of the code for directors or executive officers, including:</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(a)</w:t>
      </w:r>
      <w:r w:rsidRPr="001C0101">
        <w:rPr>
          <w:rFonts w:cs="Times New Roman"/>
          <w:color w:val="000000" w:themeColor="text1"/>
          <w:u w:color="000000" w:themeColor="text1"/>
        </w:rPr>
        <w:tab/>
        <w:t>conflicts of interest;</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(b)</w:t>
      </w:r>
      <w:r w:rsidRPr="001C0101">
        <w:rPr>
          <w:rFonts w:cs="Times New Roman"/>
          <w:color w:val="000000" w:themeColor="text1"/>
          <w:u w:color="000000" w:themeColor="text1"/>
        </w:rPr>
        <w:tab/>
        <w:t>matters covered under the corporate opportunities doctrine under the state of domicile;</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(c)</w:t>
      </w:r>
      <w:r w:rsidRPr="001C0101">
        <w:rPr>
          <w:rFonts w:cs="Times New Roman"/>
          <w:color w:val="000000" w:themeColor="text1"/>
          <w:u w:color="000000" w:themeColor="text1"/>
        </w:rPr>
        <w:tab/>
        <w:t>confidentiality;</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(d)</w:t>
      </w:r>
      <w:r w:rsidRPr="001C0101">
        <w:rPr>
          <w:rFonts w:cs="Times New Roman"/>
          <w:color w:val="000000" w:themeColor="text1"/>
          <w:u w:color="000000" w:themeColor="text1"/>
        </w:rPr>
        <w:tab/>
        <w:t>fair dealing;</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(e)</w:t>
      </w:r>
      <w:r w:rsidRPr="001C0101">
        <w:rPr>
          <w:rFonts w:cs="Times New Roman"/>
          <w:color w:val="000000" w:themeColor="text1"/>
          <w:u w:color="000000" w:themeColor="text1"/>
        </w:rPr>
        <w:tab/>
        <w:t>protection and proper use of risk retention group assets;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(f)</w:t>
      </w:r>
      <w:r w:rsidRPr="001C0101">
        <w:rPr>
          <w:rFonts w:cs="Times New Roman"/>
          <w:color w:val="000000" w:themeColor="text1"/>
          <w:u w:color="000000" w:themeColor="text1"/>
        </w:rPr>
        <w:tab/>
        <w:t>compliance with all applicable laws, rules, and regulations; and</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r>
      <w:r w:rsidRPr="001C0101">
        <w:rPr>
          <w:rFonts w:cs="Times New Roman"/>
          <w:color w:val="000000" w:themeColor="text1"/>
          <w:u w:color="000000" w:themeColor="text1"/>
        </w:rPr>
        <w:tab/>
        <w:t>(g)</w:t>
      </w:r>
      <w:r w:rsidRPr="001C0101">
        <w:rPr>
          <w:rFonts w:cs="Times New Roman"/>
          <w:color w:val="000000" w:themeColor="text1"/>
          <w:u w:color="000000" w:themeColor="text1"/>
        </w:rPr>
        <w:tab/>
        <w:t>requiring the reporting of any illegal or unethical behavior which affects the operation of the risk retention group.</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t>(7)</w:t>
      </w:r>
      <w:r w:rsidRPr="001C0101">
        <w:rPr>
          <w:rFonts w:cs="Times New Roman"/>
          <w:color w:val="000000" w:themeColor="text1"/>
          <w:u w:color="000000" w:themeColor="text1"/>
        </w:rPr>
        <w:tab/>
        <w:t>The audit provisions of S.C. Code of Regulations 69</w:t>
      </w:r>
      <w:r w:rsidRPr="001C0101">
        <w:rPr>
          <w:rFonts w:cs="Times New Roman"/>
          <w:color w:val="000000" w:themeColor="text1"/>
          <w:u w:color="000000" w:themeColor="text1"/>
        </w:rPr>
        <w:noBreakHyphen/>
        <w:t>70 related to audit committees apply to risk retention groups.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t>(8)</w:t>
      </w:r>
      <w:r w:rsidRPr="001C0101">
        <w:rPr>
          <w:rFonts w:cs="Times New Roman"/>
          <w:color w:val="000000" w:themeColor="text1"/>
          <w:u w:color="000000" w:themeColor="text1"/>
        </w:rPr>
        <w:tab/>
        <w:t>The captive manager, president, or chief executive officer of the risk retention group promptly shall notify the domestic regulator in writing if he becomes aware of any material noncompliance with any of these governance standards.</w:t>
      </w: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r>
      <w:r w:rsidRPr="001C0101">
        <w:rPr>
          <w:rFonts w:cs="Times New Roman"/>
          <w:color w:val="000000" w:themeColor="text1"/>
          <w:u w:color="000000" w:themeColor="text1"/>
        </w:rPr>
        <w:tab/>
        <w:t>(9)</w:t>
      </w:r>
      <w:r w:rsidRPr="001C0101">
        <w:rPr>
          <w:rFonts w:cs="Times New Roman"/>
          <w:color w:val="000000" w:themeColor="text1"/>
          <w:u w:color="000000" w:themeColor="text1"/>
        </w:rPr>
        <w:tab/>
        <w:t>All existing risk retention groups must be in compliance with the governance standards contained in this section by January 1, 2018. New risk retention groups licensed after January 1, 2017, must be in compliance with the standards at the time of licensure.”</w:t>
      </w: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Pr="001A407C"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Out-of-state risk retention group has thirty days to submit material revisions to the director</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SECTION</w:t>
      </w:r>
      <w:r w:rsidRPr="001C0101">
        <w:rPr>
          <w:rFonts w:cs="Times New Roman"/>
          <w:color w:val="000000" w:themeColor="text1"/>
          <w:u w:color="000000" w:themeColor="text1"/>
        </w:rPr>
        <w:tab/>
        <w:t>3.</w:t>
      </w:r>
      <w:r w:rsidRPr="001C0101">
        <w:rPr>
          <w:rFonts w:cs="Times New Roman"/>
          <w:color w:val="000000" w:themeColor="text1"/>
          <w:u w:color="000000" w:themeColor="text1"/>
        </w:rPr>
        <w:tab/>
        <w:t>Section 38</w:t>
      </w:r>
      <w:r w:rsidRPr="001C0101">
        <w:rPr>
          <w:rFonts w:cs="Times New Roman"/>
          <w:color w:val="000000" w:themeColor="text1"/>
          <w:u w:color="000000" w:themeColor="text1"/>
        </w:rPr>
        <w:noBreakHyphen/>
        <w:t>87</w:t>
      </w:r>
      <w:r w:rsidRPr="001C0101">
        <w:rPr>
          <w:rFonts w:cs="Times New Roman"/>
          <w:color w:val="000000" w:themeColor="text1"/>
          <w:u w:color="000000" w:themeColor="text1"/>
        </w:rPr>
        <w:noBreakHyphen/>
        <w:t xml:space="preserve">40(1)(b) of the 1976 Code is amended to read: </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t>“(b)</w:t>
      </w:r>
      <w:r w:rsidRPr="001C0101">
        <w:rPr>
          <w:rFonts w:cs="Times New Roman"/>
          <w:color w:val="000000" w:themeColor="text1"/>
          <w:u w:color="000000" w:themeColor="text1"/>
        </w:rPr>
        <w:tab/>
        <w:t>The risk retention group shall submit a copy of any material revision to its plan of operation or feasibility study required by Section 38</w:t>
      </w:r>
      <w:r w:rsidRPr="001C0101">
        <w:rPr>
          <w:rFonts w:cs="Times New Roman"/>
          <w:color w:val="000000" w:themeColor="text1"/>
          <w:u w:color="000000" w:themeColor="text1"/>
        </w:rPr>
        <w:noBreakHyphen/>
        <w:t>87</w:t>
      </w:r>
      <w:r w:rsidRPr="001C0101">
        <w:rPr>
          <w:rFonts w:cs="Times New Roman"/>
          <w:color w:val="000000" w:themeColor="text1"/>
          <w:u w:color="000000" w:themeColor="text1"/>
        </w:rPr>
        <w:noBreakHyphen/>
        <w:t>30(B) within thirty days of the date of approval of the revision by the commissioner of its chartering state, or within thirty days of filing if no approval is required.”</w:t>
      </w: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Pr="001A407C"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Risk retention group licensing requirements apply to risk retention groups licensed as captive insurers</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SECTION</w:t>
      </w:r>
      <w:r w:rsidRPr="001C0101">
        <w:rPr>
          <w:rFonts w:cs="Times New Roman"/>
          <w:color w:val="000000" w:themeColor="text1"/>
          <w:u w:color="000000" w:themeColor="text1"/>
        </w:rPr>
        <w:tab/>
        <w:t>4.</w:t>
      </w:r>
      <w:r w:rsidRPr="001C0101">
        <w:rPr>
          <w:rFonts w:cs="Times New Roman"/>
          <w:color w:val="000000" w:themeColor="text1"/>
          <w:u w:color="000000" w:themeColor="text1"/>
        </w:rPr>
        <w:tab/>
        <w:t>Section 38</w:t>
      </w:r>
      <w:r w:rsidRPr="001C0101">
        <w:rPr>
          <w:rFonts w:cs="Times New Roman"/>
          <w:color w:val="000000" w:themeColor="text1"/>
          <w:u w:color="000000" w:themeColor="text1"/>
        </w:rPr>
        <w:noBreakHyphen/>
        <w:t>90</w:t>
      </w:r>
      <w:r w:rsidRPr="001C0101">
        <w:rPr>
          <w:rFonts w:cs="Times New Roman"/>
          <w:color w:val="000000" w:themeColor="text1"/>
          <w:u w:color="000000" w:themeColor="text1"/>
        </w:rPr>
        <w:noBreakHyphen/>
        <w:t xml:space="preserve">160(D) of the 1976 Code is amended to read: </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ab/>
        <w:t>“(D)</w:t>
      </w:r>
      <w:r w:rsidRPr="001C0101">
        <w:rPr>
          <w:rFonts w:cs="Times New Roman"/>
          <w:color w:val="000000" w:themeColor="text1"/>
          <w:u w:color="000000" w:themeColor="text1"/>
        </w:rPr>
        <w:tab/>
        <w:t>Except as provided elsewhere in this chapter, the provisions of Chapter 87, Title 38 apply to a risk retention group licensed as a captive insurance company. The provisions of Section 38</w:t>
      </w:r>
      <w:r w:rsidRPr="001C0101">
        <w:rPr>
          <w:rFonts w:cs="Times New Roman"/>
          <w:color w:val="000000" w:themeColor="text1"/>
          <w:u w:color="000000" w:themeColor="text1"/>
        </w:rPr>
        <w:noBreakHyphen/>
        <w:t>87</w:t>
      </w:r>
      <w:r w:rsidRPr="001C0101">
        <w:rPr>
          <w:rFonts w:cs="Times New Roman"/>
          <w:color w:val="000000" w:themeColor="text1"/>
          <w:u w:color="000000" w:themeColor="text1"/>
        </w:rPr>
        <w:noBreakHyphen/>
        <w:t>30(D) apply in full to a risk retention group licensed as a captive insurance company and control if a conflict occurs between that code section and this chapter.”</w:t>
      </w: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Pr="001A407C"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C0101">
        <w:rPr>
          <w:rFonts w:cs="Times New Roman"/>
          <w:color w:val="000000" w:themeColor="text1"/>
          <w:u w:color="000000" w:themeColor="text1"/>
        </w:rPr>
        <w:t>SECTION</w:t>
      </w:r>
      <w:r w:rsidRPr="001C0101">
        <w:rPr>
          <w:rFonts w:cs="Times New Roman"/>
          <w:color w:val="000000" w:themeColor="text1"/>
          <w:u w:color="000000" w:themeColor="text1"/>
        </w:rPr>
        <w:tab/>
        <w:t>5.</w:t>
      </w:r>
      <w:r w:rsidRPr="001C0101">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Pr="001A407C"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0101">
        <w:rPr>
          <w:rFonts w:cs="Times New Roman"/>
          <w:color w:val="000000" w:themeColor="text1"/>
          <w:u w:color="000000" w:themeColor="text1"/>
        </w:rPr>
        <w:t>SECTION</w:t>
      </w:r>
      <w:r w:rsidRPr="001C0101">
        <w:rPr>
          <w:rFonts w:cs="Times New Roman"/>
          <w:color w:val="000000" w:themeColor="text1"/>
          <w:u w:color="000000" w:themeColor="text1"/>
        </w:rPr>
        <w:tab/>
        <w:t>6.</w:t>
      </w:r>
      <w:r w:rsidRPr="001C0101">
        <w:rPr>
          <w:rFonts w:cs="Times New Roman"/>
          <w:color w:val="000000" w:themeColor="text1"/>
          <w:u w:color="000000" w:themeColor="text1"/>
        </w:rPr>
        <w:tab/>
        <w:t>This act takes effect on January 1, 2017.</w:t>
      </w:r>
    </w:p>
    <w:p w:rsidR="003516A5" w:rsidRPr="001C0101"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16A5" w:rsidRDefault="003516A5"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3516A5" w:rsidRDefault="003516A5" w:rsidP="003516A5">
      <w:pPr>
        <w:jc w:val="both"/>
        <w:rPr>
          <w:color w:val="000000" w:themeColor="text1"/>
        </w:rPr>
      </w:pPr>
    </w:p>
    <w:p w:rsidR="003516A5" w:rsidRDefault="003516A5" w:rsidP="003516A5">
      <w:pPr>
        <w:jc w:val="both"/>
        <w:rPr>
          <w:color w:val="000000" w:themeColor="text1"/>
        </w:rPr>
      </w:pPr>
      <w:r>
        <w:rPr>
          <w:color w:val="000000" w:themeColor="text1"/>
        </w:rPr>
        <w:t>Approved the 26</w:t>
      </w:r>
      <w:r w:rsidRPr="00A43E71">
        <w:rPr>
          <w:color w:val="000000" w:themeColor="text1"/>
          <w:vertAlign w:val="superscript"/>
        </w:rPr>
        <w:t>th</w:t>
      </w:r>
      <w:r>
        <w:rPr>
          <w:color w:val="000000" w:themeColor="text1"/>
        </w:rPr>
        <w:t xml:space="preserve"> day of May, 2016. </w:t>
      </w:r>
    </w:p>
    <w:p w:rsidR="003516A5" w:rsidRDefault="003516A5" w:rsidP="003516A5">
      <w:pPr>
        <w:jc w:val="center"/>
        <w:rPr>
          <w:color w:val="000000" w:themeColor="text1"/>
        </w:rPr>
      </w:pPr>
    </w:p>
    <w:p w:rsidR="003516A5" w:rsidRDefault="003516A5" w:rsidP="003516A5">
      <w:pPr>
        <w:jc w:val="center"/>
        <w:rPr>
          <w:color w:val="000000" w:themeColor="text1"/>
        </w:rPr>
      </w:pPr>
      <w:r>
        <w:rPr>
          <w:color w:val="000000" w:themeColor="text1"/>
        </w:rPr>
        <w:t>__________</w:t>
      </w:r>
    </w:p>
    <w:p w:rsidR="00F3435B" w:rsidRPr="00A84E89" w:rsidRDefault="00F3435B" w:rsidP="00351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3435B" w:rsidRPr="00A84E89" w:rsidSect="00F3435B">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609" w:rsidRDefault="00DA2609" w:rsidP="007D5FAC">
      <w:r>
        <w:separator/>
      </w:r>
    </w:p>
  </w:endnote>
  <w:endnote w:type="continuationSeparator" w:id="0">
    <w:p w:rsidR="00DA2609" w:rsidRDefault="00DA260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35B" w:rsidRPr="00F3435B" w:rsidRDefault="00F3435B" w:rsidP="00F3435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859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35B" w:rsidRDefault="00F34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609" w:rsidRDefault="00DA2609" w:rsidP="007D5FAC">
      <w:r>
        <w:separator/>
      </w:r>
    </w:p>
  </w:footnote>
  <w:footnote w:type="continuationSeparator" w:id="0">
    <w:p w:rsidR="00DA2609" w:rsidRDefault="00DA260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978"/>
    <w:docVar w:name="ActSecretary" w:val="Downey"/>
    <w:docVar w:name="ActSIdno" w:val="(312)  978CZ16"/>
    <w:docVar w:name="clipname" w:val="978CZ16"/>
    <w:docVar w:name="dvBillNumber" w:val="978"/>
    <w:docVar w:name="dvBillNumberPrefix" w:val="S"/>
    <w:docVar w:name="dvOriginalBody" w:val="Senate"/>
    <w:docVar w:name="OrigSENATEBillNo" w:val="978"/>
    <w:docVar w:name="SENATEACTFULLPATH" w:val="L:\COUNCIL\ACTS\978CZ16.DOCX"/>
    <w:docVar w:name="WhatActtype" w:val="AN ACT"/>
  </w:docVars>
  <w:rsids>
    <w:rsidRoot w:val="00DA2609"/>
    <w:rsid w:val="00002DE0"/>
    <w:rsid w:val="00020349"/>
    <w:rsid w:val="00021B0B"/>
    <w:rsid w:val="00030487"/>
    <w:rsid w:val="00040C05"/>
    <w:rsid w:val="0004579B"/>
    <w:rsid w:val="00051B4F"/>
    <w:rsid w:val="00055653"/>
    <w:rsid w:val="000673E4"/>
    <w:rsid w:val="0007088D"/>
    <w:rsid w:val="000708C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2C4E"/>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5B13"/>
    <w:rsid w:val="0018353C"/>
    <w:rsid w:val="00184AD0"/>
    <w:rsid w:val="001A407C"/>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25E"/>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1A1E"/>
    <w:rsid w:val="002D3267"/>
    <w:rsid w:val="002D73F6"/>
    <w:rsid w:val="002D7489"/>
    <w:rsid w:val="002D7F22"/>
    <w:rsid w:val="002E0E09"/>
    <w:rsid w:val="002E2659"/>
    <w:rsid w:val="002F1141"/>
    <w:rsid w:val="002F45B3"/>
    <w:rsid w:val="00304605"/>
    <w:rsid w:val="003049A0"/>
    <w:rsid w:val="00305689"/>
    <w:rsid w:val="0031739F"/>
    <w:rsid w:val="003219FC"/>
    <w:rsid w:val="0032262B"/>
    <w:rsid w:val="0032380E"/>
    <w:rsid w:val="00325D1F"/>
    <w:rsid w:val="003348FE"/>
    <w:rsid w:val="00334EAC"/>
    <w:rsid w:val="0034356D"/>
    <w:rsid w:val="003516A5"/>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03D4"/>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EEE"/>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4972"/>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1E05"/>
    <w:rsid w:val="00731C9E"/>
    <w:rsid w:val="00734C77"/>
    <w:rsid w:val="00737039"/>
    <w:rsid w:val="007373C7"/>
    <w:rsid w:val="007469F9"/>
    <w:rsid w:val="0074783A"/>
    <w:rsid w:val="007514EF"/>
    <w:rsid w:val="00754C10"/>
    <w:rsid w:val="00764BFB"/>
    <w:rsid w:val="00765D0A"/>
    <w:rsid w:val="007664A2"/>
    <w:rsid w:val="007746C2"/>
    <w:rsid w:val="00775216"/>
    <w:rsid w:val="00775B87"/>
    <w:rsid w:val="00784A23"/>
    <w:rsid w:val="007946C3"/>
    <w:rsid w:val="007A73EA"/>
    <w:rsid w:val="007B0E40"/>
    <w:rsid w:val="007B296A"/>
    <w:rsid w:val="007B2D27"/>
    <w:rsid w:val="007C19E2"/>
    <w:rsid w:val="007C3D08"/>
    <w:rsid w:val="007C3EC8"/>
    <w:rsid w:val="007C6831"/>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790C"/>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41F1"/>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4E8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C6767"/>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2C42"/>
    <w:rsid w:val="00C73A60"/>
    <w:rsid w:val="00C74282"/>
    <w:rsid w:val="00C74E9D"/>
    <w:rsid w:val="00C837F6"/>
    <w:rsid w:val="00C859D1"/>
    <w:rsid w:val="00C92B7D"/>
    <w:rsid w:val="00C92E2B"/>
    <w:rsid w:val="00C94E59"/>
    <w:rsid w:val="00C97CB8"/>
    <w:rsid w:val="00CA23B8"/>
    <w:rsid w:val="00CA4CD7"/>
    <w:rsid w:val="00CB12FE"/>
    <w:rsid w:val="00CC2825"/>
    <w:rsid w:val="00CE1407"/>
    <w:rsid w:val="00CE54EA"/>
    <w:rsid w:val="00CE5B85"/>
    <w:rsid w:val="00CE70D6"/>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2609"/>
    <w:rsid w:val="00DA77C1"/>
    <w:rsid w:val="00DB01BE"/>
    <w:rsid w:val="00DB1297"/>
    <w:rsid w:val="00DC093F"/>
    <w:rsid w:val="00DC6591"/>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5875"/>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35B"/>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6332B9FE-BD11-48D2-A93B-C2789848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3435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C1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9E2"/>
    <w:rPr>
      <w:rFonts w:ascii="Segoe UI" w:hAnsi="Segoe UI" w:cs="Segoe UI"/>
      <w:sz w:val="18"/>
      <w:szCs w:val="18"/>
    </w:rPr>
  </w:style>
  <w:style w:type="table" w:styleId="TableGrid">
    <w:name w:val="Table Grid"/>
    <w:basedOn w:val="TableNormal"/>
    <w:uiPriority w:val="59"/>
    <w:rsid w:val="00E6587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3435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141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1-27-16.docx" TargetMode="External"/><Relationship Id="rId13" Type="http://schemas.openxmlformats.org/officeDocument/2006/relationships/hyperlink" Target="file:///h:\HJ%20Archive\2016\02-23-16.docx" TargetMode="External"/><Relationship Id="rId18" Type="http://schemas.openxmlformats.org/officeDocument/2006/relationships/hyperlink" Target="http://www.scstatehouse.gov/billsearch.php?billnumbers=978&amp;session=121&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978_20160128.docx" TargetMode="External"/><Relationship Id="rId7" Type="http://schemas.openxmlformats.org/officeDocument/2006/relationships/hyperlink" Target="file:///h:\SJ%20Archive\2016\01-13-16.docx" TargetMode="External"/><Relationship Id="rId12" Type="http://schemas.openxmlformats.org/officeDocument/2006/relationships/hyperlink" Target="file:///h:\HJ%20Archive\2016\02-23-16.docx" TargetMode="External"/><Relationship Id="rId17" Type="http://schemas.openxmlformats.org/officeDocument/2006/relationships/hyperlink" Target="file:///h:\HJ%20Archive\2016\05-18-16.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6\05-17-16.docx" TargetMode="External"/><Relationship Id="rId20" Type="http://schemas.openxmlformats.org/officeDocument/2006/relationships/hyperlink" Target="file:///p:\pprever\2015-16\978_20160127.docx" TargetMode="External"/><Relationship Id="rId1" Type="http://schemas.openxmlformats.org/officeDocument/2006/relationships/styles" Target="styles.xml"/><Relationship Id="rId6" Type="http://schemas.openxmlformats.org/officeDocument/2006/relationships/hyperlink" Target="file:///h:\SJ%20Archive\2016\01-13-16.docx" TargetMode="External"/><Relationship Id="rId11" Type="http://schemas.openxmlformats.org/officeDocument/2006/relationships/hyperlink" Target="file:///h:\SJ%20Archive\2016\02-11-16.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6\05-17-16.docx" TargetMode="External"/><Relationship Id="rId23" Type="http://schemas.openxmlformats.org/officeDocument/2006/relationships/footer" Target="footer1.xml"/><Relationship Id="rId10" Type="http://schemas.openxmlformats.org/officeDocument/2006/relationships/hyperlink" Target="file:///h:\SJ%20Archive\2016\02-10-16.docx" TargetMode="External"/><Relationship Id="rId19" Type="http://schemas.openxmlformats.org/officeDocument/2006/relationships/hyperlink" Target="file:///p:\pprever\2015-16\978_20160113.docx" TargetMode="External"/><Relationship Id="rId4" Type="http://schemas.openxmlformats.org/officeDocument/2006/relationships/footnotes" Target="footnotes.xml"/><Relationship Id="rId9" Type="http://schemas.openxmlformats.org/officeDocument/2006/relationships/hyperlink" Target="file:///h:\SJ%20Archive\2016\02-10-16.docx" TargetMode="External"/><Relationship Id="rId14" Type="http://schemas.openxmlformats.org/officeDocument/2006/relationships/hyperlink" Target="file:///h:\HJ%20Archive\2016\05-05-16.docx" TargetMode="External"/><Relationship Id="rId22" Type="http://schemas.openxmlformats.org/officeDocument/2006/relationships/hyperlink" Target="file:///p:\pprever\2015-16\978_201605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978: Risk-based capital plans - South Carolina Legislature Online</dc:title>
  <dc:subject/>
  <dc:creator>%USERNAME%</dc:creator>
  <cp:keywords/>
  <dc:description/>
  <cp:lastModifiedBy>N Cumfer</cp:lastModifiedBy>
  <cp:revision>2</cp:revision>
  <cp:lastPrinted>2016-05-18T18:28:00Z</cp:lastPrinted>
  <dcterms:created xsi:type="dcterms:W3CDTF">2016-12-02T17:22:00Z</dcterms:created>
  <dcterms:modified xsi:type="dcterms:W3CDTF">2016-12-02T17:22:00Z</dcterms:modified>
</cp:coreProperties>
</file>