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B3"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439BB" w:rsidRP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2015</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Pr="008439BB" w:rsidRDefault="008439BB" w:rsidP="008439BB">
      <w:pPr>
        <w:tabs>
          <w:tab w:val="right" w:pos="5933"/>
        </w:tabs>
        <w:suppressAutoHyphens/>
        <w:jc w:val="both"/>
        <w:rPr>
          <w:rFonts w:eastAsia="Times New Roman"/>
        </w:rPr>
      </w:pPr>
      <w:r>
        <w:rPr>
          <w:rFonts w:eastAsia="Times New Roman"/>
        </w:rPr>
        <w:tab/>
      </w:r>
      <w:r>
        <w:rPr>
          <w:rFonts w:eastAsia="Times New Roman"/>
          <w:b/>
          <w:sz w:val="36"/>
        </w:rPr>
        <w:t>S. 183</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Default="008439BB" w:rsidP="00D5510B">
      <w:pPr>
        <w:tabs>
          <w:tab w:val="right" w:pos="5933"/>
        </w:tabs>
        <w:suppressAutoHyphens/>
        <w:jc w:val="both"/>
        <w:rPr>
          <w:rFonts w:eastAsia="Times New Roman"/>
        </w:rPr>
      </w:pPr>
      <w:r>
        <w:rPr>
          <w:rFonts w:eastAsia="Times New Roman"/>
        </w:rPr>
        <w:t>S. Printed 5/6/15--H.</w:t>
      </w:r>
      <w:r w:rsidR="00D5510B">
        <w:rPr>
          <w:rFonts w:eastAsia="Times New Roman"/>
        </w:rPr>
        <w:tab/>
        <w:t>[SEC 5/7/15 1:44 PM]</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183) </w:t>
      </w:r>
      <w:r w:rsidRPr="008439BB">
        <w:rPr>
          <w:color w:val="000000" w:themeColor="text1"/>
          <w:u w:color="000000" w:themeColor="text1"/>
        </w:rPr>
        <w:t>to amend the Code of Laws of South Carolina, 1976, by amending Section 16</w:t>
      </w:r>
      <w:r w:rsidRPr="008439BB">
        <w:rPr>
          <w:color w:val="000000" w:themeColor="text1"/>
          <w:u w:color="000000" w:themeColor="text1"/>
        </w:rPr>
        <w:noBreakHyphen/>
        <w:t>3</w:t>
      </w:r>
      <w:r w:rsidRPr="008439BB">
        <w:rPr>
          <w:color w:val="000000" w:themeColor="text1"/>
          <w:u w:color="000000" w:themeColor="text1"/>
        </w:rPr>
        <w:noBreakHyphen/>
        <w:t>2010, relating to human trafficking definitions, so as to define “coercion</w:t>
      </w:r>
      <w:r>
        <w:rPr>
          <w:rFonts w:eastAsia="Times New Roman"/>
        </w:rPr>
        <w:t>”, etc., respectfully</w:t>
      </w: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37E3">
        <w:rPr>
          <w:rFonts w:eastAsia="Times New Roman"/>
          <w:szCs w:val="20"/>
        </w:rPr>
        <w:t>Amend the bill, as and if amended, by striking all after the enacting words and inserting:</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5037E3">
        <w:rPr>
          <w:rFonts w:eastAsia="Times New Roman"/>
          <w:szCs w:val="20"/>
        </w:rPr>
        <w:t xml:space="preserve">/ </w:t>
      </w:r>
      <w:r w:rsidRPr="005037E3">
        <w:rPr>
          <w:u w:color="000000" w:themeColor="text1"/>
        </w:rPr>
        <w:t>SECTION</w:t>
      </w:r>
      <w:r w:rsidRPr="005037E3">
        <w:rPr>
          <w:u w:color="000000" w:themeColor="text1"/>
        </w:rPr>
        <w:tab/>
        <w:t>1.</w:t>
      </w:r>
      <w:r w:rsidRPr="005037E3">
        <w:rPr>
          <w:u w:color="000000" w:themeColor="text1"/>
        </w:rPr>
        <w:tab/>
        <w:t>Section 16</w:t>
      </w:r>
      <w:r w:rsidRPr="005037E3">
        <w:rPr>
          <w:u w:color="000000" w:themeColor="text1"/>
        </w:rPr>
        <w:noBreakHyphen/>
        <w:t>3</w:t>
      </w:r>
      <w:r w:rsidRPr="005037E3">
        <w:rPr>
          <w:u w:color="000000" w:themeColor="text1"/>
        </w:rPr>
        <w:noBreakHyphen/>
        <w:t>2020 of the 1976 Code is amended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“Section 16</w:t>
      </w:r>
      <w:r w:rsidRPr="005037E3">
        <w:rPr>
          <w:u w:color="000000" w:themeColor="text1"/>
        </w:rPr>
        <w:noBreakHyphen/>
        <w:t>3</w:t>
      </w:r>
      <w:r w:rsidRPr="005037E3">
        <w:rPr>
          <w:u w:color="000000" w:themeColor="text1"/>
        </w:rPr>
        <w:noBreakHyphen/>
        <w:t>2020.</w:t>
      </w:r>
      <w:r w:rsidRPr="005037E3">
        <w:rPr>
          <w:u w:color="000000" w:themeColor="text1"/>
        </w:rPr>
        <w:tab/>
        <w:t>(A)</w:t>
      </w:r>
      <w:r w:rsidRPr="005037E3">
        <w:rPr>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(B)</w:t>
      </w:r>
      <w:r w:rsidRPr="005037E3">
        <w:rPr>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lastRenderedPageBreak/>
        <w:tab/>
        <w:t>(C)</w:t>
      </w:r>
      <w:r w:rsidRPr="005037E3">
        <w:rPr>
          <w:u w:color="000000" w:themeColor="text1"/>
        </w:rPr>
        <w:tab/>
        <w:t>For a first offense, the person is guilty of a felony and, upon conviction, must be imprisoned not more than fifteen years.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For a second offense, the person is guilty of a felony and, upon conviction, must be imprisoned not more than thirty years.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(E)</w:t>
      </w:r>
      <w:r w:rsidRPr="005037E3">
        <w:rPr>
          <w:u w:color="000000" w:themeColor="text1"/>
        </w:rPr>
        <w:tab/>
        <w:t>For a third or subsequent offense, the person is guilty of a felony, and, upon conviction, must be imprisoned not more than forty</w:t>
      </w:r>
      <w:r w:rsidRPr="005037E3">
        <w:rPr>
          <w:u w:color="000000" w:themeColor="text1"/>
        </w:rPr>
        <w:noBreakHyphen/>
        <w:t>five years.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(F)</w:t>
      </w:r>
      <w:r w:rsidRPr="005037E3">
        <w:rPr>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(G)</w:t>
      </w:r>
      <w:r w:rsidRPr="005037E3">
        <w:rPr>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5037E3">
        <w:rPr>
          <w:bCs/>
          <w:szCs w:val="36"/>
          <w:u w:val="single"/>
        </w:rPr>
        <w:t>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5037E3">
        <w:rPr>
          <w:u w:color="000000" w:themeColor="text1"/>
        </w:rPr>
        <w:t xml:space="preserve">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(H)</w:t>
      </w:r>
      <w:r w:rsidRPr="005037E3">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(I)</w:t>
      </w:r>
      <w:r w:rsidRPr="005037E3">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037E3">
        <w:rPr>
          <w:u w:color="000000" w:themeColor="text1"/>
        </w:rPr>
        <w:noBreakHyphen/>
        <w:t>3</w:t>
      </w:r>
      <w:r w:rsidRPr="005037E3">
        <w:rPr>
          <w:u w:color="000000" w:themeColor="text1"/>
        </w:rPr>
        <w:noBreakHyphen/>
        <w:t>1110.</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(J)</w:t>
      </w:r>
      <w:r w:rsidRPr="005037E3">
        <w:rPr>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5037E3">
        <w:rPr>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5037E3">
        <w:rPr>
          <w:u w:color="000000" w:themeColor="text1"/>
        </w:rPr>
        <w:t xml:space="preserve">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(K)</w:t>
      </w:r>
      <w:r w:rsidRPr="005037E3">
        <w:rPr>
          <w:u w:color="000000" w:themeColor="text1"/>
        </w:rPr>
        <w:tab/>
        <w:t>Evidence of the following facts or conditions do not constitute a defense in a prosecution for a violation of this article, nor does the evidence preclude a finding of a violation: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lastRenderedPageBreak/>
        <w:tab/>
      </w:r>
      <w:r w:rsidRPr="005037E3">
        <w:rPr>
          <w:u w:color="000000" w:themeColor="text1"/>
        </w:rPr>
        <w:tab/>
        <w:t>(1)</w:t>
      </w:r>
      <w:r w:rsidRPr="005037E3">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(2)</w:t>
      </w:r>
      <w:r w:rsidRPr="005037E3">
        <w:rPr>
          <w:u w:color="000000" w:themeColor="text1"/>
        </w:rPr>
        <w:tab/>
        <w:t>the victim’s connection by blood or marriage to a defendant in the case or to anyone involved in the victim’s trafficking;</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(3)</w:t>
      </w:r>
      <w:r w:rsidRPr="005037E3">
        <w:rPr>
          <w:u w:color="000000" w:themeColor="text1"/>
        </w:rPr>
        <w:tab/>
        <w:t>the implied or express consent of a victim to acts which violate the provisions of this section do not constitute a defense to violations of this section;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(4)</w:t>
      </w:r>
      <w:r w:rsidRPr="005037E3">
        <w:rPr>
          <w:u w:color="000000" w:themeColor="text1"/>
        </w:rPr>
        <w:tab/>
        <w:t>age of consent to sex, legal age of marriage, or other discretionary age;  and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(5)</w:t>
      </w:r>
      <w:r w:rsidRPr="005037E3">
        <w:rPr>
          <w:u w:color="000000" w:themeColor="text1"/>
        </w:rPr>
        <w:tab/>
        <w:t>mistake as to the victim’s age, even if the mistake is reasonable.</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(L)</w:t>
      </w:r>
      <w:r w:rsidRPr="005037E3">
        <w:rPr>
          <w:u w:color="000000" w:themeColor="text1"/>
        </w:rPr>
        <w:tab/>
        <w:t>A person who violates the provisions of this section may be prosecuted by the State Grand Jury, pursuant to Section 14</w:t>
      </w:r>
      <w:r w:rsidRPr="005037E3">
        <w:rPr>
          <w:u w:color="000000" w:themeColor="text1"/>
        </w:rPr>
        <w:noBreakHyphen/>
        <w:t>7</w:t>
      </w:r>
      <w:r w:rsidRPr="005037E3">
        <w:rPr>
          <w:u w:color="000000" w:themeColor="text1"/>
        </w:rPr>
        <w:noBreakHyphen/>
        <w:t>1600, when a victim is trafficked in more than one county or a trafficker commits the offense of trafficking in persons in more than one county.”</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2.</w:t>
      </w:r>
      <w:r w:rsidRPr="005037E3">
        <w:rPr>
          <w:u w:color="000000" w:themeColor="text1"/>
        </w:rPr>
        <w:tab/>
        <w:t>Section 16</w:t>
      </w:r>
      <w:r w:rsidRPr="005037E3">
        <w:rPr>
          <w:u w:color="000000" w:themeColor="text1"/>
        </w:rPr>
        <w:noBreakHyphen/>
        <w:t>3</w:t>
      </w:r>
      <w:r w:rsidRPr="005037E3">
        <w:rPr>
          <w:u w:color="000000" w:themeColor="text1"/>
        </w:rPr>
        <w:noBreakHyphen/>
        <w:t>2030(A) of the 1976 Code is amended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“(A)</w:t>
      </w:r>
      <w:r w:rsidRPr="005037E3">
        <w:rPr>
          <w:u w:color="000000" w:themeColor="text1"/>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5037E3">
        <w:rPr>
          <w:u w:val="single" w:color="000000" w:themeColor="text1"/>
        </w:rPr>
        <w:t>In addition, the court may consider disgorgement of profit from activity in violation of this article and disbarment from state and local government contracts.</w:t>
      </w:r>
      <w:r w:rsidRPr="005037E3">
        <w:rPr>
          <w:u w:color="000000" w:themeColor="text1"/>
        </w:rPr>
        <w: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3.</w:t>
      </w:r>
      <w:r w:rsidRPr="005037E3">
        <w:rPr>
          <w:u w:color="000000" w:themeColor="text1"/>
        </w:rPr>
        <w:tab/>
        <w:t>Section 16</w:t>
      </w:r>
      <w:r w:rsidRPr="005037E3">
        <w:rPr>
          <w:u w:color="000000" w:themeColor="text1"/>
        </w:rPr>
        <w:noBreakHyphen/>
        <w:t>3</w:t>
      </w:r>
      <w:r w:rsidRPr="005037E3">
        <w:rPr>
          <w:u w:color="000000" w:themeColor="text1"/>
        </w:rPr>
        <w:noBreakHyphen/>
        <w:t>2040(D) of the 1976 Code is amended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Restitution for this section, pursuant to Section 16</w:t>
      </w:r>
      <w:r w:rsidRPr="005037E3">
        <w:rPr>
          <w:u w:color="000000" w:themeColor="text1"/>
        </w:rPr>
        <w:noBreakHyphen/>
        <w:t>3</w:t>
      </w:r>
      <w:r w:rsidRPr="005037E3">
        <w:rPr>
          <w:u w:color="000000" w:themeColor="text1"/>
        </w:rPr>
        <w:noBreakHyphen/>
        <w:t xml:space="preserve">1270, means payment for all injuries, specific losses, and expenses </w:t>
      </w:r>
      <w:r w:rsidRPr="005037E3">
        <w:rPr>
          <w:u w:val="single" w:color="000000" w:themeColor="text1"/>
        </w:rPr>
        <w:t>including, but not limited to, attorney’s fees,</w:t>
      </w:r>
      <w:r w:rsidRPr="005037E3">
        <w:rPr>
          <w:u w:color="000000" w:themeColor="text1"/>
        </w:rPr>
        <w:t xml:space="preserve"> sustained by a crime victim resulting from an offender’s criminal conduct pursuant to Section 16</w:t>
      </w:r>
      <w:r w:rsidRPr="005037E3">
        <w:rPr>
          <w:u w:color="000000" w:themeColor="text1"/>
        </w:rPr>
        <w:noBreakHyphen/>
        <w:t>3</w:t>
      </w:r>
      <w:r w:rsidRPr="005037E3">
        <w:rPr>
          <w:u w:color="000000" w:themeColor="text1"/>
        </w:rPr>
        <w:noBreakHyphen/>
        <w:t xml:space="preserve">1110(12)(a).  </w:t>
      </w:r>
      <w:r w:rsidRPr="005037E3">
        <w:rPr>
          <w:u w:val="single" w:color="000000" w:themeColor="text1"/>
        </w:rPr>
        <w:t>In addition, the court may order an amount representing the value of the victim’s labor or services.</w:t>
      </w:r>
      <w:r w:rsidRPr="005037E3">
        <w:rPr>
          <w:u w:color="000000" w:themeColor="text1"/>
        </w:rPr>
        <w: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4.</w:t>
      </w:r>
      <w:r w:rsidRPr="005037E3">
        <w:rPr>
          <w:u w:color="000000" w:themeColor="text1"/>
        </w:rPr>
        <w:tab/>
        <w:t>Section 16</w:t>
      </w:r>
      <w:r w:rsidRPr="005037E3">
        <w:rPr>
          <w:u w:color="000000" w:themeColor="text1"/>
        </w:rPr>
        <w:noBreakHyphen/>
        <w:t>3</w:t>
      </w:r>
      <w:r w:rsidRPr="005037E3">
        <w:rPr>
          <w:u w:color="000000" w:themeColor="text1"/>
        </w:rPr>
        <w:noBreakHyphen/>
        <w:t>2050 of the 1976 Code is amended by adding an appropriately numbered subsection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w:t>
      </w:r>
      <w:r w:rsidRPr="005037E3">
        <w:rPr>
          <w:u w:val="single" w:color="000000" w:themeColor="text1"/>
        </w:rPr>
        <w:t>( )</w:t>
      </w:r>
      <w:r w:rsidRPr="005037E3">
        <w:rPr>
          <w:u w:color="000000" w:themeColor="text1"/>
        </w:rPr>
        <w:tab/>
      </w:r>
      <w:r w:rsidRPr="005037E3">
        <w:rPr>
          <w:u w:val="single" w:color="000000" w:themeColor="text1"/>
        </w:rPr>
        <w:t xml:space="preserve">To the extent that funds are appropriated, the task force may make grants to or contract with a state agency, local government, or private victims’ service organization to develop or expand service programs for victims.  A recipient of a grant or contract shall report </w:t>
      </w:r>
      <w:r w:rsidRPr="005037E3">
        <w:rPr>
          <w:u w:val="single" w:color="000000" w:themeColor="text1"/>
        </w:rPr>
        <w:lastRenderedPageBreak/>
        <w:t>annually to the task force the number and demographic information of all victims receiving services pursuant to the grant or contract.</w:t>
      </w:r>
      <w:r w:rsidRPr="005037E3">
        <w:rPr>
          <w:u w:color="000000" w:themeColor="text1"/>
        </w:rPr>
        <w: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5.</w:t>
      </w:r>
      <w:r w:rsidRPr="005037E3">
        <w:rPr>
          <w:u w:color="000000" w:themeColor="text1"/>
        </w:rPr>
        <w:tab/>
        <w:t xml:space="preserve">If any section, subsection, item, subitem, paragraph, subparagraph, sentence, clause, phrase, or word of this act is for any reason held to be </w:t>
      </w:r>
      <w:r w:rsidRPr="005037E3">
        <w:rPr>
          <w:noProof/>
          <w:u w:color="000000" w:themeColor="text1"/>
        </w:rPr>
        <w:t>unconstitutional</w:t>
      </w:r>
      <w:r w:rsidRPr="005037E3">
        <w:rPr>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5037E3">
        <w:rPr>
          <w:u w:color="000000" w:themeColor="text1"/>
        </w:rPr>
        <w:t>SECTION</w:t>
      </w:r>
      <w:r w:rsidRPr="005037E3">
        <w:rPr>
          <w:u w:color="000000" w:themeColor="text1"/>
        </w:rPr>
        <w:tab/>
        <w:t>6.</w:t>
      </w:r>
      <w:r w:rsidRPr="005037E3">
        <w:rPr>
          <w:u w:color="000000" w:themeColor="text1"/>
        </w:rPr>
        <w:tab/>
        <w:t>This act takes effect upon approval by the Governor.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37E3">
        <w:rPr>
          <w:rFonts w:eastAsia="Times New Roman"/>
          <w:szCs w:val="20"/>
        </w:rPr>
        <w:t>Renumber sections to conform.</w:t>
      </w:r>
    </w:p>
    <w:p w:rsid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37E3">
        <w:rPr>
          <w:rFonts w:eastAsia="Times New Roman"/>
          <w:szCs w:val="20"/>
        </w:rPr>
        <w:t>Amend title to conform.</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39BB"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681A50" w:rsidRDefault="00681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(E)</w:t>
      </w:r>
      <w:r w:rsidRPr="00D97DDD">
        <w:rPr>
          <w:color w:val="000000" w:themeColor="text1"/>
          <w:u w:color="000000" w:themeColor="text1"/>
        </w:rPr>
        <w:tab/>
        <w:t>For a third or subsequent offense, the person is guilty of a felony, and</w:t>
      </w:r>
      <w:r w:rsidR="00681A50">
        <w:rPr>
          <w:color w:val="000000" w:themeColor="text1"/>
          <w:u w:color="000000" w:themeColor="text1"/>
        </w:rPr>
        <w:t>,</w:t>
      </w:r>
      <w:r w:rsidRPr="00D97DDD">
        <w:rPr>
          <w:color w:val="000000" w:themeColor="text1"/>
          <w:u w:color="000000" w:themeColor="text1"/>
        </w:rPr>
        <w:t xml:space="preserve"> upon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5510B">
        <w:rPr>
          <w:color w:val="000000" w:themeColor="text1"/>
        </w:rPr>
        <w:t xml:space="preserve">.  </w:t>
      </w:r>
      <w:r w:rsidRPr="00D97DDD">
        <w:rPr>
          <w:color w:val="000000" w:themeColor="text1"/>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w:t>
      </w:r>
      <w:r w:rsidR="00A041D7">
        <w:rPr>
          <w:color w:val="000000" w:themeColor="text1"/>
          <w:u w:color="000000" w:themeColor="text1"/>
        </w:rPr>
        <w:tab/>
      </w:r>
      <w:r w:rsidRPr="00D97DDD">
        <w:rPr>
          <w:strike/>
          <w:color w:val="000000" w:themeColor="text1"/>
          <w:u w:color="000000" w:themeColor="text1"/>
        </w:rPr>
        <w:t>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2</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w:t>
      </w:r>
      <w:r w:rsidR="00681A50">
        <w:rPr>
          <w:color w:val="000000" w:themeColor="text1"/>
          <w:u w:val="single" w:color="000000" w:themeColor="text1"/>
        </w:rPr>
        <w:t>’</w:t>
      </w:r>
      <w:r w:rsidRPr="00D97DDD">
        <w:rPr>
          <w:color w:val="000000" w:themeColor="text1"/>
          <w:u w:val="single" w:color="000000" w:themeColor="text1"/>
        </w:rPr>
        <w:t>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w:t>
      </w:r>
      <w:r w:rsidR="00A041D7">
        <w:rPr>
          <w:color w:val="000000" w:themeColor="text1"/>
          <w:u w:val="single" w:color="000000" w:themeColor="text1"/>
        </w:rPr>
        <w:t>’</w:t>
      </w:r>
      <w:r w:rsidRPr="00D97DDD">
        <w:rPr>
          <w:color w:val="000000" w:themeColor="text1"/>
          <w:u w:val="single" w:color="000000" w:themeColor="text1"/>
        </w:rPr>
        <w:t>s service organization to develop or expand service programs for victim</w:t>
      </w:r>
      <w:r w:rsidR="003136FA">
        <w:rPr>
          <w:color w:val="000000" w:themeColor="text1"/>
          <w:u w:val="single" w:color="000000" w:themeColor="text1"/>
        </w:rPr>
        <w:t>’</w:t>
      </w:r>
      <w:r w:rsidRPr="00D97DDD">
        <w:rPr>
          <w:color w:val="000000" w:themeColor="text1"/>
          <w:u w:val="single" w:color="000000" w:themeColor="text1"/>
        </w:rPr>
        <w:t>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5</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A041D7">
        <w:rPr>
          <w:color w:val="000000" w:themeColor="text1"/>
          <w:u w:val="single" w:color="000000" w:themeColor="text1"/>
        </w:rPr>
        <w:t xml:space="preserve"> </w:t>
      </w:r>
      <w:r w:rsidRPr="00D97DDD">
        <w:rPr>
          <w:color w:val="000000" w:themeColor="text1"/>
          <w:u w:val="single" w:color="000000" w:themeColor="text1"/>
        </w:rPr>
        <w:t>)</w:t>
      </w:r>
      <w:r w:rsidR="00A041D7">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6</w:t>
      </w:r>
      <w:r w:rsidRPr="00D97DDD">
        <w:rPr>
          <w:color w:val="000000" w:themeColor="text1"/>
          <w:u w:color="000000" w:themeColor="text1"/>
        </w:rPr>
        <w:t>.</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7</w:t>
      </w:r>
      <w:r w:rsidRPr="00D97DDD">
        <w:rPr>
          <w:color w:val="000000" w:themeColor="text1"/>
          <w:u w:color="000000" w:themeColor="text1"/>
        </w:rPr>
        <w:t>.</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74D9" w:rsidRDefault="002974D9" w:rsidP="002974D9">
      <w:pPr>
        <w:suppressAutoHyphens/>
        <w:jc w:val="both"/>
        <w:rPr>
          <w:rFonts w:eastAsia="Times New Roman"/>
        </w:rPr>
      </w:pPr>
    </w:p>
    <w:sectPr w:rsidR="002974D9"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4C76EA-F151-4D7C-8DCA-65BFD8BBF299}"/>
    <w:embedBold r:id="rId2" w:fontKey="{FDE82234-8C9A-476D-9FC7-ADEF6538E451}"/>
  </w:font>
  <w:font w:name="Calibri">
    <w:panose1 w:val="020F0502020204030204"/>
    <w:charset w:val="00"/>
    <w:family w:val="swiss"/>
    <w:pitch w:val="variable"/>
    <w:sig w:usb0="E10002FF" w:usb1="4000ACFF" w:usb2="00000009" w:usb3="00000000" w:csb0="0000019F" w:csb1="00000000"/>
    <w:embedRegular r:id="rId3" w:fontKey="{81697FB7-9AFA-430A-AC94-165528D4BCED}"/>
  </w:font>
  <w:font w:name="Cambria">
    <w:panose1 w:val="02040503050406030204"/>
    <w:charset w:val="00"/>
    <w:family w:val="roman"/>
    <w:pitch w:val="variable"/>
    <w:sig w:usb0="E00002FF" w:usb1="400004FF" w:usb2="00000000" w:usb3="00000000" w:csb0="0000019F" w:csb1="00000000"/>
    <w:embedRegular r:id="rId4" w:fontKey="{1F9A261A-0E87-4DDA-BAD1-B23744C1E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2974D9">
      <w:rPr>
        <w:noProof/>
      </w:rPr>
      <w:t>4</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2974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974D9"/>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439BB"/>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5510B"/>
    <w:rsid w:val="00D77EC0"/>
    <w:rsid w:val="00D86943"/>
    <w:rsid w:val="00DA47B9"/>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1FD0776B.dotm</Template>
  <TotalTime>0</TotalTime>
  <Pages>9</Pages>
  <Words>2831</Words>
  <Characters>14566</Characters>
  <Application>Microsoft Office Word</Application>
  <DocSecurity>0</DocSecurity>
  <Lines>355</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(May 7, 2015) - South Carolina Legislature Online</dc:title>
  <dc:subject/>
  <dc:creator>LindseyKnipp</dc:creator>
  <cp:keywords/>
  <dc:description/>
  <cp:lastModifiedBy>Angela Hopkins</cp:lastModifiedBy>
  <cp:revision>2</cp:revision>
  <dcterms:created xsi:type="dcterms:W3CDTF">2015-05-07T17:44:00Z</dcterms:created>
  <dcterms:modified xsi:type="dcterms:W3CDTF">2015-05-07T17:44:00Z</dcterms:modified>
</cp:coreProperties>
</file>