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Pr="00EF4AF6" w:rsidRDefault="00EF4AF6" w:rsidP="00EF4AF6">
      <w:pPr>
        <w:pStyle w:val="BillDots"/>
        <w:tabs>
          <w:tab w:val="clear" w:pos="216"/>
          <w:tab w:val="clear" w:pos="432"/>
          <w:tab w:val="clear" w:pos="648"/>
          <w:tab w:val="clear" w:pos="864"/>
          <w:tab w:val="clear" w:pos="1080"/>
          <w:tab w:val="clear" w:pos="1296"/>
          <w:tab w:val="clear" w:pos="5904"/>
          <w:tab w:val="right" w:pos="5933"/>
        </w:tabs>
      </w:pPr>
      <w:r>
        <w:tab/>
      </w:r>
      <w:r>
        <w:rPr>
          <w:b/>
          <w:sz w:val="36"/>
        </w:rPr>
        <w:t>H. 3125</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Quinn, Cobb</w:t>
      </w:r>
      <w:r>
        <w:noBreakHyphen/>
        <w:t>Hunter, M.S. McLeod, Felder, Atwater, Toole, Huggins, Pitts and Pope</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3125) to amend Section 14</w:t>
      </w:r>
      <w:r>
        <w:noBreakHyphen/>
        <w:t>7</w:t>
      </w:r>
      <w:r>
        <w:noBreakHyphen/>
        <w:t>1610, as amended, Code of Laws of South Carolina, 1976, relating to the state grand jury system and legislative findings and applicability, etc., respectfully</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EF4AF6" w:rsidRP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F4AF6" w:rsidRDefault="00EF4AF6"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F4AF6" w:rsidSect="00EF4A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03FE" w:rsidRDefault="003203FE"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F4AF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3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C55" w:rsidP="002E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FINDINGS AND APPLICABILITY, SO AS TO INCLUDE CRIMES INVOLVING TRAFFICKING PERSONS IN THE PURVIEW OF THE STATUTE; TO AMEND SECTION 14</w:t>
      </w:r>
      <w:r>
        <w:noBreakHyphen/>
        <w:t>7</w:t>
      </w:r>
      <w:r>
        <w:noBreakHyphen/>
        <w:t>1630, AS AMENDED, RELATING TO JURISDICTION OF THE STATE GRAND JURY, SO AS TO INCLUDE CRIMES INVOLVING TRAFFICKING IN 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940" w:rsidRDefault="003C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940" w:rsidRDefault="003C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3C3940"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C55">
        <w:t>Section 14</w:t>
      </w:r>
      <w:r w:rsidR="00646C55">
        <w:noBreakHyphen/>
        <w:t>7</w:t>
      </w:r>
      <w:r w:rsidR="00646C55">
        <w:noBreakHyphen/>
        <w:t>1610(A) and (H) of the 1976 Code, as last amended by Act 82 of 2007, is further amended to read: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24F29">
        <w:t>Section 14</w:t>
      </w:r>
      <w:r>
        <w:noBreakHyphen/>
      </w:r>
      <w:r w:rsidRPr="00324F29">
        <w:t>7</w:t>
      </w:r>
      <w:r>
        <w:noBreakHyphen/>
      </w:r>
      <w:r w:rsidRPr="00324F29">
        <w:t>1630(A) of the 1976 Code</w:t>
      </w:r>
      <w:r>
        <w:t xml:space="preserve">, as last amended by Act 280 of 2008, </w:t>
      </w:r>
      <w:r w:rsidRPr="00324F29">
        <w:t xml:space="preserve">is </w:t>
      </w:r>
      <w:r>
        <w:t xml:space="preserve">further </w:t>
      </w:r>
      <w:r w:rsidRPr="00324F29">
        <w:t>amended to read:</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noBreakHyphen/>
      </w:r>
      <w:r w:rsidRPr="00324F29">
        <w:t>53</w:t>
      </w:r>
      <w:r>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noBreakHyphen/>
      </w:r>
      <w:r w:rsidRPr="00324F29">
        <w:t xml:space="preserve">county nature or has transpired or is transpiring or has significance in more than one county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noBreakHyphen/>
      </w:r>
      <w:r w:rsidRPr="00324F29">
        <w:t>7</w:t>
      </w:r>
      <w:r>
        <w:noBreakHyphen/>
      </w:r>
      <w:r w:rsidRPr="00324F29">
        <w:t>1615, a crime, statutory, common law or other, arising out of or in connection with a crime involving public corruption as defined in Section 14</w:t>
      </w:r>
      <w:r>
        <w:noBreakHyphen/>
      </w:r>
      <w:r w:rsidRPr="00324F29">
        <w:t>7</w:t>
      </w:r>
      <w:r>
        <w:noBreakHyphen/>
      </w:r>
      <w:r w:rsidRPr="00324F29">
        <w:t>1615, and any attempt, aiding, abetting, solicitation, or conspiracy to commit a crime, statutory, common law or other, involving public corruption as defined in Section 14</w:t>
      </w:r>
      <w:r>
        <w:noBreakHyphen/>
      </w:r>
      <w:r w:rsidRPr="00324F29">
        <w:t>7</w:t>
      </w:r>
      <w:r>
        <w:noBreakHyphen/>
      </w:r>
      <w:r w:rsidRPr="00324F29">
        <w:t xml:space="preserve">1615;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noBreakHyphen/>
      </w:r>
      <w:r w:rsidRPr="00324F29">
        <w:t>13</w:t>
      </w:r>
      <w:r>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Pr>
          <w:u w:val="single"/>
        </w:rPr>
        <w:noBreakHyphen/>
      </w:r>
      <w:r w:rsidRPr="00324F29">
        <w:rPr>
          <w:u w:val="single"/>
        </w:rPr>
        <w:t>3</w:t>
      </w:r>
      <w:r>
        <w:rPr>
          <w:u w:val="single"/>
        </w:rPr>
        <w:noBreakHyphen/>
      </w:r>
      <w:r w:rsidRPr="00324F29">
        <w:rPr>
          <w:u w:val="single"/>
        </w:rPr>
        <w:t>2020, when a victim is trafficked in more than one county or a trafficker commits the offense of trafficking in persons in more than one county.</w:t>
      </w:r>
      <w:r w:rsidRPr="00324F29">
        <w:t>”</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3</w:t>
      </w:r>
      <w:r>
        <w:noBreakHyphen/>
        <w:t>2010(7) of the 1976 Code, as added by Act 258 of 2012, is amended to read: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711BBC">
        <w:t>‘</w:t>
      </w:r>
      <w:r w:rsidRPr="00FE080F">
        <w:t>Sex trafficking</w:t>
      </w:r>
      <w:r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noBreakHyphen/>
      </w:r>
      <w:r w:rsidRPr="00FE080F">
        <w:t>3</w:t>
      </w:r>
      <w:r>
        <w:noBreakHyphen/>
      </w:r>
      <w:r w:rsidRPr="00FE080F">
        <w:t>651;</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(b)</w:t>
      </w:r>
      <w:r>
        <w:tab/>
      </w:r>
      <w:r w:rsidRPr="00FE080F">
        <w:t>criminal sexual conduct in the first degree pursuant to Section 16</w:t>
      </w:r>
      <w:r>
        <w:noBreakHyphen/>
      </w:r>
      <w:r w:rsidRPr="00FE080F">
        <w:t>3</w:t>
      </w:r>
      <w:r>
        <w:noBreakHyphen/>
      </w:r>
      <w:r w:rsidRPr="00FE080F">
        <w:t>652;</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noBreakHyphen/>
      </w:r>
      <w:r w:rsidRPr="00FE080F">
        <w:t>3</w:t>
      </w:r>
      <w:r>
        <w:noBreakHyphen/>
      </w:r>
      <w:r w:rsidRPr="00FE080F">
        <w:t>653;</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noBreakHyphen/>
      </w:r>
      <w:r w:rsidRPr="00FE080F">
        <w:t>3</w:t>
      </w:r>
      <w:r>
        <w:noBreakHyphen/>
      </w:r>
      <w:r w:rsidRPr="00FE080F">
        <w:t>654;</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noBreakHyphen/>
      </w:r>
      <w:r w:rsidRPr="00FE080F">
        <w:t>3</w:t>
      </w:r>
      <w:r>
        <w:noBreakHyphen/>
      </w:r>
      <w:r w:rsidRPr="00FE080F">
        <w:t>655;</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noBreakHyphen/>
      </w:r>
      <w:r w:rsidRPr="00FE080F">
        <w:t>3</w:t>
      </w:r>
      <w:r>
        <w:noBreakHyphen/>
      </w:r>
      <w:r w:rsidRPr="00FE080F">
        <w:t>810;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(g)</w:t>
      </w:r>
      <w:r>
        <w:tab/>
      </w:r>
      <w:r w:rsidRPr="00FE080F">
        <w:t>performance pursuant to Section 16</w:t>
      </w:r>
      <w:r>
        <w:noBreakHyphen/>
      </w:r>
      <w:r w:rsidRPr="00FE080F">
        <w:t>3</w:t>
      </w:r>
      <w:r>
        <w:noBreakHyphen/>
      </w:r>
      <w:r w:rsidRPr="00FE080F">
        <w:t>800;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noBreakHyphen/>
      </w:r>
      <w:r w:rsidRPr="00FE080F">
        <w:t>3</w:t>
      </w:r>
      <w:r>
        <w:noBreakHyphen/>
      </w:r>
      <w:r w:rsidRPr="00FE080F">
        <w:t>820;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noBreakHyphen/>
      </w:r>
      <w:r w:rsidRPr="00FE080F">
        <w:t>3</w:t>
      </w:r>
      <w:r>
        <w:noBreakHyphen/>
      </w:r>
      <w:r w:rsidRPr="00FE080F">
        <w:t>651;</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noBreakHyphen/>
      </w:r>
      <w:r w:rsidRPr="00FE080F">
        <w:t>3</w:t>
      </w:r>
      <w:r>
        <w:noBreakHyphen/>
      </w:r>
      <w:r w:rsidRPr="00FE080F">
        <w:t>800; 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noBreakHyphen/>
      </w:r>
      <w:r w:rsidRPr="00FE080F">
        <w:t>3</w:t>
      </w:r>
      <w:r>
        <w:noBreakHyphen/>
      </w:r>
      <w:r w:rsidRPr="00FE080F">
        <w:t>800.</w:t>
      </w:r>
      <w: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073E9F">
        <w:rPr>
          <w:color w:val="000000" w:themeColor="text1"/>
          <w:u w:color="000000" w:themeColor="text1"/>
        </w:rPr>
        <w:t>Article 19, Chapter 3, Title 16 of the 1976 Code is amended by adding:</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Pr>
          <w:color w:val="000000" w:themeColor="text1"/>
          <w:u w:color="000000" w:themeColor="text1"/>
        </w:rPr>
        <w:noBreakHyphen/>
      </w:r>
      <w:r w:rsidRPr="00073E9F">
        <w:rPr>
          <w:color w:val="000000" w:themeColor="text1"/>
          <w:u w:color="000000" w:themeColor="text1"/>
        </w:rPr>
        <w:t>15</w:t>
      </w:r>
      <w:r>
        <w:rPr>
          <w:color w:val="000000" w:themeColor="text1"/>
          <w:u w:color="000000" w:themeColor="text1"/>
        </w:rPr>
        <w:noBreakHyphen/>
      </w:r>
      <w:r w:rsidRPr="00073E9F">
        <w:rPr>
          <w:color w:val="000000" w:themeColor="text1"/>
          <w:u w:color="000000" w:themeColor="text1"/>
        </w:rPr>
        <w:t>375, or seminudity, as defined in Section 57</w:t>
      </w:r>
      <w:r>
        <w:rPr>
          <w:color w:val="000000" w:themeColor="text1"/>
          <w:u w:color="000000" w:themeColor="text1"/>
        </w:rPr>
        <w:noBreakHyphen/>
      </w:r>
      <w:r w:rsidRPr="00073E9F">
        <w:rPr>
          <w:color w:val="000000" w:themeColor="text1"/>
          <w:u w:color="000000" w:themeColor="text1"/>
        </w:rPr>
        <w:t>25</w:t>
      </w:r>
      <w:r>
        <w:rPr>
          <w:color w:val="000000" w:themeColor="text1"/>
          <w:u w:color="000000" w:themeColor="text1"/>
        </w:rPr>
        <w:noBreakHyphen/>
      </w:r>
      <w:r w:rsidRPr="00073E9F">
        <w:rPr>
          <w:color w:val="000000" w:themeColor="text1"/>
          <w:u w:color="000000" w:themeColor="text1"/>
        </w:rPr>
        <w:t xml:space="preserve">120; </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Pr>
          <w:color w:val="000000" w:themeColor="text1"/>
          <w:u w:color="000000" w:themeColor="text1"/>
        </w:rPr>
        <w:t xml:space="preserve">Chapter 30, </w:t>
      </w:r>
      <w:r w:rsidRPr="00073E9F">
        <w:rPr>
          <w:color w:val="000000" w:themeColor="text1"/>
          <w:u w:color="000000" w:themeColor="text1"/>
        </w:rPr>
        <w:t>Title 40;</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Pr>
          <w:color w:val="000000" w:themeColor="text1"/>
          <w:u w:color="000000" w:themeColor="text1"/>
        </w:rPr>
        <w:noBreakHyphen/>
      </w:r>
      <w:r w:rsidRPr="00073E9F">
        <w:rPr>
          <w:color w:val="000000" w:themeColor="text1"/>
          <w:u w:color="000000" w:themeColor="text1"/>
        </w:rPr>
        <w:t>27</w:t>
      </w:r>
      <w:r>
        <w:rPr>
          <w:color w:val="000000" w:themeColor="text1"/>
          <w:u w:color="000000" w:themeColor="text1"/>
        </w:rPr>
        <w:noBreakHyphen/>
      </w:r>
      <w:r w:rsidRPr="00073E9F">
        <w:rPr>
          <w:color w:val="000000" w:themeColor="text1"/>
          <w:u w:color="000000" w:themeColor="text1"/>
        </w:rPr>
        <w:t>120; and</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Pr="00073E9F">
        <w:rPr>
          <w:color w:val="000000" w:themeColor="text1"/>
          <w:u w:color="000000" w:themeColor="text1"/>
        </w:rPr>
        <w:t>888</w:t>
      </w:r>
      <w:r>
        <w:rPr>
          <w:color w:val="000000" w:themeColor="text1"/>
          <w:u w:color="000000" w:themeColor="text1"/>
        </w:rPr>
        <w:noBreakHyphen/>
      </w:r>
      <w:r w:rsidRPr="00073E9F">
        <w:rPr>
          <w:color w:val="000000" w:themeColor="text1"/>
          <w:u w:color="000000" w:themeColor="text1"/>
        </w:rPr>
        <w:t>373</w:t>
      </w:r>
      <w:r>
        <w:rPr>
          <w:color w:val="000000" w:themeColor="text1"/>
          <w:u w:color="000000" w:themeColor="text1"/>
        </w:rPr>
        <w:noBreakHyphen/>
      </w:r>
      <w:r w:rsidRPr="00073E9F">
        <w:rPr>
          <w:color w:val="000000" w:themeColor="text1"/>
          <w:u w:color="000000" w:themeColor="text1"/>
        </w:rPr>
        <w:t>7888 to access help and services. Victims of human trafficking are protected under federal law and the laws of South Carolina. The hotline is: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Pr>
          <w:color w:val="000000" w:themeColor="text1"/>
          <w:u w:color="000000" w:themeColor="text1"/>
        </w:rPr>
        <w:noBreakHyphen/>
      </w:r>
      <w:r w:rsidRPr="00073E9F">
        <w:rPr>
          <w:color w:val="000000" w:themeColor="text1"/>
          <w:u w:color="000000" w:themeColor="text1"/>
        </w:rPr>
        <w:t>four hours a day, seven days a week;</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Pr="00711BBC">
        <w:rPr>
          <w:color w:val="000000" w:themeColor="text1"/>
          <w:u w:color="000000" w:themeColor="text1"/>
        </w:rPr>
        <w:t>’</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Pr>
          <w:color w:val="000000" w:themeColor="text1"/>
          <w:u w:color="000000" w:themeColor="text1"/>
        </w:rPr>
        <w:noBreakHyphen/>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2050</w:t>
      </w:r>
      <w:r>
        <w:rPr>
          <w:color w:val="000000" w:themeColor="text1"/>
          <w:u w:color="000000" w:themeColor="text1"/>
        </w:rPr>
        <w:t>(B) and (C)</w:t>
      </w:r>
      <w:r w:rsidRPr="00073E9F">
        <w:rPr>
          <w:color w:val="000000" w:themeColor="text1"/>
          <w:u w:color="000000" w:themeColor="text1"/>
        </w:rPr>
        <w:t xml:space="preserve"> of the 1976 Code, as added by Act 258 of 2012, is amended to read: </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Pr="00711BBC">
        <w:t>’</w:t>
      </w:r>
      <w:r w:rsidRPr="00FE080F">
        <w:t xml:space="preserve"> Association;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t xml:space="preserve"> </w:t>
      </w:r>
      <w:r w:rsidRPr="00840B00">
        <w:t xml:space="preserve">of </w:t>
      </w:r>
      <w:r>
        <w:rPr>
          <w:u w:val="single"/>
        </w:rPr>
        <w:t>the United States Department of Labor,</w:t>
      </w:r>
      <w:r w:rsidRPr="00FE080F">
        <w:t xml:space="preserve"> the United States Attorneys</w:t>
      </w:r>
      <w:r w:rsidRPr="00711BBC">
        <w:t>’</w:t>
      </w:r>
      <w:r w:rsidRPr="00FE080F">
        <w:t xml:space="preserve"> offices</w:t>
      </w:r>
      <w:r>
        <w:rPr>
          <w:u w:val="single"/>
        </w:rPr>
        <w:t>,</w:t>
      </w:r>
      <w:r w:rsidRPr="00FE080F">
        <w:t xml:space="preserve"> and </w:t>
      </w:r>
      <w:r w:rsidRPr="00840B00">
        <w:rPr>
          <w:strike/>
        </w:rPr>
        <w:t>of</w:t>
      </w:r>
      <w:r w:rsidRPr="00FE080F">
        <w:t xml:space="preserve"> federal law enforcement agencies</w:t>
      </w:r>
      <w:r w:rsidRPr="00711BBC">
        <w:t>’</w:t>
      </w:r>
      <w:r w:rsidRPr="00FE080F">
        <w:t xml:space="preserve"> offices within the State, including the Federal Bureau of Investigations and the United States Immigration and Customs Enforcement office, to be members of the task force.</w:t>
      </w:r>
      <w: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40" w:rsidRDefault="00646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7.</w:t>
      </w:r>
      <w:r>
        <w:tab/>
      </w:r>
      <w:r w:rsidRPr="00324F29">
        <w:t>This act takes effect upon approval by the Governor.</w:t>
      </w:r>
    </w:p>
    <w:p w:rsidR="003E6B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3B01" w:rsidRDefault="00533B01" w:rsidP="00533B01">
      <w:pPr>
        <w:suppressAutoHyphens/>
      </w:pPr>
    </w:p>
    <w:sectPr w:rsidR="00533B01" w:rsidSect="00EF4A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940" w:rsidRDefault="003C3940" w:rsidP="009F0C77">
      <w:r>
        <w:separator/>
      </w:r>
    </w:p>
  </w:endnote>
  <w:endnote w:type="continuationSeparator" w:id="0">
    <w:p w:rsidR="003C3940" w:rsidRDefault="003C3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115A0B-77D4-421A-9D12-532E4659E028}"/>
    <w:embedBold r:id="rId2" w:fontKey="{61FE112C-E66B-44A5-AD61-B28E0811F76E}"/>
  </w:font>
  <w:font w:name="Calibri">
    <w:panose1 w:val="020F0502020204030204"/>
    <w:charset w:val="00"/>
    <w:family w:val="swiss"/>
    <w:pitch w:val="variable"/>
    <w:sig w:usb0="E10002FF" w:usb1="4000ACFF" w:usb2="00000009" w:usb3="00000000" w:csb0="0000019F" w:csb1="00000000"/>
    <w:embedRegular r:id="rId3" w:fontKey="{49BAB4A0-855B-44FC-B8DE-444218F798A0}"/>
  </w:font>
  <w:font w:name="Segoe UI">
    <w:panose1 w:val="020B0502040204020203"/>
    <w:charset w:val="00"/>
    <w:family w:val="swiss"/>
    <w:pitch w:val="variable"/>
    <w:sig w:usb0="E10022FF" w:usb1="C000E47F" w:usb2="00000029" w:usb3="00000000" w:csb0="000001DF" w:csb1="00000000"/>
    <w:embedRegular r:id="rId4" w:fontKey="{B4BD150A-1200-4D33-9690-15E7BB37373B}"/>
  </w:font>
  <w:font w:name="Cambria">
    <w:panose1 w:val="02040503050406030204"/>
    <w:charset w:val="00"/>
    <w:family w:val="roman"/>
    <w:pitch w:val="variable"/>
    <w:sig w:usb0="E00002FF" w:usb1="400004FF" w:usb2="00000000" w:usb3="00000000" w:csb0="0000019F" w:csb1="00000000"/>
    <w:embedRegular r:id="rId5" w:fontKey="{6D56CDF6-FA6C-46CA-A36D-DFF592611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D1" w:rsidRPr="003203FE" w:rsidRDefault="003203FE" w:rsidP="003203FE">
    <w:pPr>
      <w:pStyle w:val="Footer"/>
      <w:tabs>
        <w:tab w:val="clear" w:pos="4680"/>
        <w:tab w:val="clear" w:pos="9360"/>
        <w:tab w:val="center" w:pos="2995"/>
      </w:tabs>
      <w:spacing w:before="120"/>
    </w:pPr>
    <w:r>
      <w:t>[3125</w:t>
    </w:r>
    <w:r w:rsidR="00EF4AF6">
      <w:t>-</w:t>
    </w:r>
    <w:r w:rsidR="00EF4AF6">
      <w:fldChar w:fldCharType="begin"/>
    </w:r>
    <w:r w:rsidR="00EF4AF6">
      <w:instrText xml:space="preserve"> PAGE  \* MERGEFORMAT </w:instrText>
    </w:r>
    <w:r w:rsidR="00EF4AF6">
      <w:fldChar w:fldCharType="separate"/>
    </w:r>
    <w:r w:rsidR="00533B01">
      <w:rPr>
        <w:noProof/>
      </w:rPr>
      <w:t>1</w:t>
    </w:r>
    <w:r w:rsidR="00EF4AF6">
      <w:fldChar w:fldCharType="end"/>
    </w:r>
    <w:r w:rsidR="00EF4A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AF6" w:rsidRPr="003203FE" w:rsidRDefault="00EF4AF6" w:rsidP="003203FE">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533B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940" w:rsidRDefault="003C3940" w:rsidP="009F0C77">
      <w:r>
        <w:separator/>
      </w:r>
    </w:p>
  </w:footnote>
  <w:footnote w:type="continuationSeparator" w:id="0">
    <w:p w:rsidR="003C3940" w:rsidRDefault="003C3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1AHB15"/>
    <w:docVar w:name="CoverBillType" w:val="b"/>
    <w:docVar w:name="docpath" w:val="L:\Council\bills\MS\7041AHB15.DOCX"/>
    <w:docVar w:name="dvBillNumber" w:val="3125"/>
    <w:docVar w:name="dvBillNumberPrefix" w:val="H. "/>
    <w:docVar w:name="dvOriginalBody" w:val="House"/>
    <w:docVar w:name="dvSteno" w:val="MS"/>
    <w:docVar w:name="NameofBody" w:val="h"/>
    <w:docVar w:name="vgroup2" w:val="Council"/>
  </w:docVars>
  <w:rsids>
    <w:rsidRoot w:val="003C394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2E6F81"/>
    <w:rsid w:val="00301B21"/>
    <w:rsid w:val="003203FE"/>
    <w:rsid w:val="00325348"/>
    <w:rsid w:val="0032732C"/>
    <w:rsid w:val="00336AD0"/>
    <w:rsid w:val="0037079A"/>
    <w:rsid w:val="003C3940"/>
    <w:rsid w:val="003D01E8"/>
    <w:rsid w:val="003E5288"/>
    <w:rsid w:val="003E6BD1"/>
    <w:rsid w:val="003F6D79"/>
    <w:rsid w:val="0041760A"/>
    <w:rsid w:val="00417C01"/>
    <w:rsid w:val="004809EE"/>
    <w:rsid w:val="004E7D54"/>
    <w:rsid w:val="004E7EF3"/>
    <w:rsid w:val="005273C6"/>
    <w:rsid w:val="00530A69"/>
    <w:rsid w:val="00533B01"/>
    <w:rsid w:val="00545593"/>
    <w:rsid w:val="00577C6C"/>
    <w:rsid w:val="005C2FE2"/>
    <w:rsid w:val="005E2BC9"/>
    <w:rsid w:val="006044F5"/>
    <w:rsid w:val="00605102"/>
    <w:rsid w:val="006215AA"/>
    <w:rsid w:val="00646C55"/>
    <w:rsid w:val="006913C9"/>
    <w:rsid w:val="0069470D"/>
    <w:rsid w:val="00734F00"/>
    <w:rsid w:val="007A70AE"/>
    <w:rsid w:val="008362E8"/>
    <w:rsid w:val="00840B3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0A2F"/>
    <w:rsid w:val="00BE3C22"/>
    <w:rsid w:val="00C0345E"/>
    <w:rsid w:val="00C3483A"/>
    <w:rsid w:val="00C74E9D"/>
    <w:rsid w:val="00C82FD3"/>
    <w:rsid w:val="00C92819"/>
    <w:rsid w:val="00CC6B7B"/>
    <w:rsid w:val="00CD2089"/>
    <w:rsid w:val="00D73A67"/>
    <w:rsid w:val="00D970A9"/>
    <w:rsid w:val="00DF3845"/>
    <w:rsid w:val="00E41911"/>
    <w:rsid w:val="00E92EEF"/>
    <w:rsid w:val="00EF4AF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D7B68-82D4-422F-994F-A5B8CD42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C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529D9-00E9-43C3-BFC1-61CE83ED4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9</Pages>
  <Words>2588</Words>
  <Characters>13912</Characters>
  <Application>Microsoft Office Word</Application>
  <DocSecurity>0</DocSecurity>
  <Lines>344</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3125 Text of Previous Version (Feb. 4, 2015) - South Carolina Legislature Online</dc:title>
  <dc:creator>MarthaSanders</dc:creator>
  <cp:lastModifiedBy>Miriam Cook</cp:lastModifiedBy>
  <cp:revision>2</cp:revision>
  <cp:lastPrinted>2014-12-10T20:21:00Z</cp:lastPrinted>
  <dcterms:created xsi:type="dcterms:W3CDTF">2015-02-05T00:08:00Z</dcterms:created>
  <dcterms:modified xsi:type="dcterms:W3CDTF">2015-02-05T00:08:00Z</dcterms:modified>
</cp:coreProperties>
</file>