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FD"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D7211" w:rsidRP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3E0" w:rsidRDefault="000173E0" w:rsidP="00ED721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173E0" w:rsidRDefault="000173E0" w:rsidP="00ED7211">
      <w:pPr>
        <w:pStyle w:val="BillDots"/>
        <w:tabs>
          <w:tab w:val="clear" w:pos="216"/>
          <w:tab w:val="clear" w:pos="432"/>
          <w:tab w:val="clear" w:pos="648"/>
          <w:tab w:val="clear" w:pos="864"/>
          <w:tab w:val="clear" w:pos="1080"/>
          <w:tab w:val="clear" w:pos="1296"/>
          <w:tab w:val="clear" w:pos="5904"/>
          <w:tab w:val="right" w:pos="5933"/>
        </w:tabs>
      </w:pPr>
      <w:r>
        <w:t>March 8, 2016</w:t>
      </w:r>
    </w:p>
    <w:p w:rsidR="000173E0" w:rsidRDefault="000173E0" w:rsidP="00ED7211">
      <w:pPr>
        <w:pStyle w:val="BillDots"/>
        <w:tabs>
          <w:tab w:val="clear" w:pos="216"/>
          <w:tab w:val="clear" w:pos="432"/>
          <w:tab w:val="clear" w:pos="648"/>
          <w:tab w:val="clear" w:pos="864"/>
          <w:tab w:val="clear" w:pos="1080"/>
          <w:tab w:val="clear" w:pos="1296"/>
          <w:tab w:val="clear" w:pos="5904"/>
          <w:tab w:val="right" w:pos="5933"/>
        </w:tabs>
      </w:pPr>
    </w:p>
    <w:p w:rsidR="00ED7211" w:rsidRPr="00ED7211" w:rsidRDefault="00ED7211" w:rsidP="00ED7211">
      <w:pPr>
        <w:pStyle w:val="BillDots"/>
        <w:tabs>
          <w:tab w:val="clear" w:pos="216"/>
          <w:tab w:val="clear" w:pos="432"/>
          <w:tab w:val="clear" w:pos="648"/>
          <w:tab w:val="clear" w:pos="864"/>
          <w:tab w:val="clear" w:pos="1080"/>
          <w:tab w:val="clear" w:pos="1296"/>
          <w:tab w:val="clear" w:pos="5904"/>
          <w:tab w:val="right" w:pos="5933"/>
        </w:tabs>
      </w:pPr>
      <w:r>
        <w:tab/>
      </w:r>
      <w:r>
        <w:rPr>
          <w:b/>
          <w:sz w:val="36"/>
        </w:rPr>
        <w:t>H. 3325</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Hodges, Weeks, Whipper, Mitchell, Govan and Gilliard</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0173E0" w:rsidP="00E851B0">
      <w:pPr>
        <w:pStyle w:val="BillDots"/>
        <w:tabs>
          <w:tab w:val="clear" w:pos="216"/>
          <w:tab w:val="clear" w:pos="432"/>
          <w:tab w:val="clear" w:pos="648"/>
          <w:tab w:val="clear" w:pos="864"/>
          <w:tab w:val="clear" w:pos="1080"/>
          <w:tab w:val="clear" w:pos="1296"/>
          <w:tab w:val="clear" w:pos="5904"/>
          <w:tab w:val="right" w:pos="5933"/>
        </w:tabs>
      </w:pPr>
      <w:r>
        <w:t>S. Printed 3/8</w:t>
      </w:r>
      <w:r w:rsidR="00ED7211">
        <w:t>/16--S.</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13, 2015.</w:t>
      </w:r>
    </w:p>
    <w:p w:rsidR="00ED7211" w:rsidRDefault="00ED7211" w:rsidP="000173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D7211" w:rsidSect="00093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5CC" w:rsidRDefault="00E355CC"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E82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bookmarkEnd w:id="1"/>
    </w:p>
    <w:p w:rsidR="00B338FD" w:rsidRDefault="00017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73E0" w:rsidRDefault="00017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SECTION</w:t>
      </w:r>
      <w:r w:rsidRPr="00285F8B">
        <w:rPr>
          <w:u w:color="000000" w:themeColor="text1"/>
        </w:rPr>
        <w:tab/>
        <w:t>1.</w:t>
      </w:r>
      <w:r w:rsidRPr="00285F8B">
        <w:rPr>
          <w:u w:color="000000" w:themeColor="text1"/>
        </w:rPr>
        <w:tab/>
        <w:t>Chapter 61, Title 15 of the 1976 Code is amended by adding: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F8B">
        <w:rPr>
          <w:u w:color="000000" w:themeColor="text1"/>
        </w:rPr>
        <w:tab/>
        <w:t>“Article 3</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F8B">
        <w:rPr>
          <w:u w:color="000000" w:themeColor="text1"/>
        </w:rPr>
        <w:tab/>
        <w:t>The Clementa C. Pinckney Uniform Partition of Heirs’ Property Act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310.</w:t>
      </w:r>
      <w:r w:rsidRPr="00285F8B">
        <w:rPr>
          <w:u w:color="000000" w:themeColor="text1"/>
        </w:rPr>
        <w:tab/>
        <w:t>This article may be cited as the ‘Clementa C. Pinckney Uniform Partition of Heirs’ Property Act’.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320.</w:t>
      </w:r>
      <w:r w:rsidRPr="00285F8B">
        <w:rPr>
          <w:u w:color="000000" w:themeColor="text1"/>
        </w:rPr>
        <w:tab/>
        <w:t>As used in this article: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w:t>
      </w:r>
      <w:r w:rsidRPr="00285F8B">
        <w:rPr>
          <w:u w:color="000000" w:themeColor="text1"/>
        </w:rPr>
        <w:tab/>
        <w:t>‘Ascendant’ means an individual who precedes another individual in lineage, in the direct line of ascent from the other individual.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(2)</w:t>
      </w:r>
      <w:r w:rsidRPr="00285F8B">
        <w:rPr>
          <w:u w:color="000000" w:themeColor="text1"/>
        </w:rPr>
        <w:tab/>
        <w:t>‘Collateral’ means an individual who is related to another individual under the law of intestate succession of this State, but who is not the other individual’s ascendant or descendant.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(3)</w:t>
      </w:r>
      <w:r w:rsidRPr="00285F8B">
        <w:rPr>
          <w:u w:color="000000" w:themeColor="text1"/>
        </w:rPr>
        <w:tab/>
        <w:t>‘Descendant’ means an individual who follows another individual in lineage, in the direct line of descent from the other individual.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(4)</w:t>
      </w:r>
      <w:r w:rsidRPr="00285F8B">
        <w:rPr>
          <w:u w:color="000000" w:themeColor="text1"/>
        </w:rPr>
        <w:tab/>
        <w:t>‘Determination of value’ means a court order determining the fair market value of heirs’ property under Section 15</w:t>
      </w:r>
      <w:r w:rsidRPr="00285F8B">
        <w:rPr>
          <w:u w:color="000000" w:themeColor="text1"/>
        </w:rPr>
        <w:noBreakHyphen/>
        <w:t>61</w:t>
      </w:r>
      <w:r w:rsidRPr="00285F8B">
        <w:rPr>
          <w:u w:color="000000" w:themeColor="text1"/>
        </w:rPr>
        <w:noBreakHyphen/>
        <w:t>360 or Section 15</w:t>
      </w:r>
      <w:r w:rsidRPr="00285F8B">
        <w:rPr>
          <w:u w:color="000000" w:themeColor="text1"/>
        </w:rPr>
        <w:noBreakHyphen/>
        <w:t>61</w:t>
      </w:r>
      <w:r w:rsidRPr="00285F8B">
        <w:rPr>
          <w:u w:color="000000" w:themeColor="text1"/>
        </w:rPr>
        <w:noBreakHyphen/>
        <w:t>400 or adopting the valuation of the property agreed to by all cotenants.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(5)</w:t>
      </w:r>
      <w:r w:rsidRPr="00285F8B">
        <w:rPr>
          <w:u w:color="000000" w:themeColor="text1"/>
        </w:rPr>
        <w:tab/>
        <w:t>‘Heirs’ property’ means real property held in tenancy in common that satisfies all of the following requirements as of the filing of a partition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(a)</w:t>
      </w:r>
      <w:r w:rsidRPr="00285F8B">
        <w:rPr>
          <w:u w:color="000000" w:themeColor="text1"/>
        </w:rPr>
        <w:tab/>
        <w:t>there is no agreement in a record binding all of the cotenants that governs the partition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(b)</w:t>
      </w:r>
      <w:r w:rsidRPr="00285F8B">
        <w:rPr>
          <w:u w:color="000000" w:themeColor="text1"/>
        </w:rPr>
        <w:tab/>
        <w:t>one or more of the cotenants acquired title from a relative, whether living or deceased;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(c)</w:t>
      </w:r>
      <w:r w:rsidRPr="00285F8B">
        <w:rPr>
          <w:u w:color="000000" w:themeColor="text1"/>
        </w:rPr>
        <w:tab/>
        <w:t>any of the following applies: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r>
      <w:r w:rsidRPr="00285F8B">
        <w:rPr>
          <w:u w:color="000000" w:themeColor="text1"/>
        </w:rPr>
        <w:tab/>
        <w:t>(i)</w:t>
      </w:r>
      <w:r w:rsidRPr="00285F8B">
        <w:rPr>
          <w:u w:color="000000" w:themeColor="text1"/>
        </w:rPr>
        <w:tab/>
        <w:t>twenty percent or more of the interests are held by cotenants who are relatives;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r>
      <w:r w:rsidRPr="00285F8B">
        <w:rPr>
          <w:u w:color="000000" w:themeColor="text1"/>
        </w:rPr>
        <w:tab/>
        <w:t>(ii)</w:t>
      </w:r>
      <w:r w:rsidRPr="00285F8B">
        <w:rPr>
          <w:u w:color="000000" w:themeColor="text1"/>
        </w:rPr>
        <w:tab/>
        <w:t>twenty percent or more of the interests are held by an individual who acquired title from a relative, whether living or deceased; or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r>
      <w:r w:rsidRPr="00285F8B">
        <w:rPr>
          <w:u w:color="000000" w:themeColor="text1"/>
        </w:rPr>
        <w:tab/>
        <w:t>(iii)</w:t>
      </w:r>
      <w:r w:rsidRPr="00285F8B">
        <w:rPr>
          <w:u w:color="000000" w:themeColor="text1"/>
        </w:rPr>
        <w:tab/>
        <w:t>twenty percent or more of the cotenants are relatives.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(6)</w:t>
      </w:r>
      <w:r w:rsidRPr="00285F8B">
        <w:rPr>
          <w:u w:color="000000" w:themeColor="text1"/>
        </w:rPr>
        <w:tab/>
        <w:t>‘Manifest prejudice’ or ‘Manifest injury’ means a result that is obviously unfair or shocking to the conscience and is direct, obvious, and observable when considering the factors under Section 15</w:t>
      </w:r>
      <w:r w:rsidRPr="00285F8B">
        <w:rPr>
          <w:u w:color="000000" w:themeColor="text1"/>
        </w:rPr>
        <w:noBreakHyphen/>
        <w:t>61</w:t>
      </w:r>
      <w:r w:rsidRPr="00285F8B">
        <w:rPr>
          <w:u w:color="000000" w:themeColor="text1"/>
        </w:rPr>
        <w:noBreakHyphen/>
        <w:t>390(A).</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(7)</w:t>
      </w:r>
      <w:r w:rsidRPr="00285F8B">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(8)</w:t>
      </w:r>
      <w:r w:rsidRPr="00285F8B">
        <w:rPr>
          <w:u w:color="000000" w:themeColor="text1"/>
        </w:rPr>
        <w:tab/>
        <w:t>‘Partition by sale’ means a court ordered sale of the entire heirs’ property, whether by auction, sealed bids, or open market sale, conducted under Section 15</w:t>
      </w:r>
      <w:r w:rsidRPr="00285F8B">
        <w:rPr>
          <w:u w:color="000000" w:themeColor="text1"/>
        </w:rPr>
        <w:noBreakHyphen/>
        <w:t>61</w:t>
      </w:r>
      <w:r w:rsidRPr="00285F8B">
        <w:rPr>
          <w:u w:color="000000" w:themeColor="text1"/>
        </w:rPr>
        <w:noBreakHyphen/>
        <w:t>400.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t>(9)</w:t>
      </w:r>
      <w:r w:rsidRPr="00285F8B">
        <w:rPr>
          <w:u w:color="000000" w:themeColor="text1"/>
        </w:rPr>
        <w:tab/>
        <w:t>‘Partition in kind’ means the division of heirs’ property into physically distinct and separately titled parcels.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(10)</w:t>
      </w:r>
      <w:r w:rsidRPr="00285F8B">
        <w:rPr>
          <w:u w:color="000000" w:themeColor="text1"/>
        </w:rPr>
        <w:tab/>
        <w:t>‘Record’ means information that is inscribed on a tangible medium or that is stored in an electronic or other medium and is retrievable in perceivable form.</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(11)</w:t>
      </w:r>
      <w:r w:rsidRPr="00285F8B">
        <w:rPr>
          <w:u w:color="000000" w:themeColor="text1"/>
        </w:rPr>
        <w:tab/>
        <w:t>‘Relative’ means an ascendant, descendant, or collateral, or an individual otherwise related to another individual by blood, marriage, adoption, or law of this State other than this article, and for purposes of this article, who owned or owns an interest in the heirs’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(12)</w:t>
      </w:r>
      <w:r w:rsidRPr="00285F8B">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330.</w:t>
      </w:r>
      <w:r w:rsidRPr="00285F8B">
        <w:rPr>
          <w:u w:color="000000" w:themeColor="text1"/>
        </w:rPr>
        <w:tab/>
        <w:t>(A)</w:t>
      </w:r>
      <w:r w:rsidRPr="00285F8B">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This article supplements the provisions of Article 1 and if the provisions of this article differ from the provisions of Article 1, the provisions of this article control for partitions of heirs’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340.</w:t>
      </w:r>
      <w:r w:rsidRPr="00285F8B">
        <w:rPr>
          <w:u w:color="000000" w:themeColor="text1"/>
        </w:rPr>
        <w:tab/>
        <w:t>(A)</w:t>
      </w:r>
      <w:r w:rsidRPr="00285F8B">
        <w:rPr>
          <w:u w:color="000000" w:themeColor="text1"/>
        </w:rPr>
        <w:tab/>
        <w:t>This article does not limit or affect the method by which service of pleading in a partition action may be made.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the plaintiff in a partition action seeks notice by publication and the court determines that notice by publication is required and, pursuant to Section 15</w:t>
      </w:r>
      <w:r w:rsidRPr="00285F8B">
        <w:rPr>
          <w:u w:color="000000" w:themeColor="text1"/>
        </w:rPr>
        <w:noBreakHyphen/>
        <w:t>61</w:t>
      </w:r>
      <w:r w:rsidRPr="00285F8B">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in addition to compliance with the requirements for notice by publication.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t>Section 15</w:t>
      </w:r>
      <w:r w:rsidRPr="00285F8B">
        <w:rPr>
          <w:u w:color="000000" w:themeColor="text1"/>
        </w:rPr>
        <w:noBreakHyphen/>
        <w:t>61</w:t>
      </w:r>
      <w:r w:rsidRPr="00285F8B">
        <w:rPr>
          <w:u w:color="000000" w:themeColor="text1"/>
        </w:rPr>
        <w:noBreakHyphen/>
        <w:t>350.</w:t>
      </w:r>
      <w:r w:rsidRPr="00285F8B">
        <w:rPr>
          <w:u w:color="000000" w:themeColor="text1"/>
        </w:rPr>
        <w:tab/>
        <w:t>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360.</w:t>
      </w:r>
      <w:r w:rsidRPr="00285F8B">
        <w:rPr>
          <w:u w:color="000000" w:themeColor="text1"/>
        </w:rPr>
        <w:tab/>
        <w:t>(A)</w:t>
      </w:r>
      <w:r w:rsidRPr="00285F8B">
        <w:rPr>
          <w:u w:color="000000" w:themeColor="text1"/>
        </w:rPr>
        <w:tab/>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all cotenants have agreed to the value of the property or to another method of valuation, the court shall adopt that value or the value produced by the agreed method of valuation.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If the court determines that the evidentiary value of an appraisal is outweighed by the cost of the appraisal, the court, after an evidentiary hearing, shall establish by order the fair market value of the property.  The court shall send notice of the order to the party that filed the partition action.  Within one week from the date notice was sent, the party that filed the partition action shall send a copy of the order establishing the fair market value of the property to all other cotenants with a known address.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(D)</w:t>
      </w:r>
      <w:r w:rsidRPr="00285F8B">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with the court a sworn or verified appraisal upon its completion and the court shall send to the party that filed the partition action a notice of the appraisal filing stating: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the appraised fair market value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that the appraisal is available at the clerk’s office;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r>
      <w:r w:rsidRPr="00285F8B">
        <w:rPr>
          <w:u w:color="000000" w:themeColor="text1"/>
        </w:rPr>
        <w:tab/>
        <w:t>(3)</w:t>
      </w:r>
      <w:r w:rsidRPr="00285F8B">
        <w:rPr>
          <w:u w:color="000000" w:themeColor="text1"/>
        </w:rPr>
        <w:tab/>
        <w:t xml:space="preserve">that a party may file with the court an objection to the appraisal no later than thirty days after the notice is sent, stating the grounds for the objection.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(E)</w:t>
      </w:r>
      <w:r w:rsidRPr="00285F8B">
        <w:rPr>
          <w:u w:color="000000" w:themeColor="text1"/>
        </w:rPr>
        <w:tab/>
        <w:t>If an appraisal is filed pursuant to subsection (D), within one week from the date the notice was sent, the party that filed the partition action shall send notice to all other cotenants with a known address, stating: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the appraised fair market value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that the appraisal is available at the clerk’s office;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that a party may file with the court an objection to the appraisal no later than thirty days after the notice is sent stating the grounds for the objection.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(F)</w:t>
      </w:r>
      <w:r w:rsidRPr="00285F8B">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(E), whether or not an objection to the appraisal is filed.  In addition to the court</w:t>
      </w:r>
      <w:r w:rsidRPr="00285F8B">
        <w:rPr>
          <w:u w:color="000000" w:themeColor="text1"/>
        </w:rPr>
        <w:noBreakHyphen/>
        <w:t>ordered appraisal, the court may consider any other evidence of value offered by a party.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(G)</w:t>
      </w:r>
      <w:r w:rsidRPr="00285F8B">
        <w:rPr>
          <w:u w:color="000000" w:themeColor="text1"/>
        </w:rPr>
        <w:tab/>
        <w:t>After a hearing under subsection (F), but before considering the merits of the partition action, the court, by order, shall determine the fair market value of the property.  The court shall send notice of the order to the party that filed the partition action and, within one week from the date notice was sent, the party filing the partition action shall send copies of the fair market value order to all other cotenants with a known address.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(H)</w:t>
      </w:r>
      <w:r w:rsidRPr="00285F8B">
        <w:rPr>
          <w:u w:color="000000" w:themeColor="text1"/>
        </w:rPr>
        <w:tab/>
        <w:t>The court, in its discretion, shall determine allocation of payment from the parties to cover the costs of the appraisal.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370.</w:t>
      </w:r>
      <w:r w:rsidRPr="00285F8B">
        <w:rPr>
          <w:u w:color="000000" w:themeColor="text1"/>
        </w:rPr>
        <w:tab/>
        <w:t>(A)</w:t>
      </w:r>
      <w:r w:rsidRPr="00285F8B">
        <w:rPr>
          <w:u w:color="000000" w:themeColor="text1"/>
        </w:rPr>
        <w:tab/>
        <w:t>If any cotenant requests partition by sale, after the determination of value pursuant to Section 15</w:t>
      </w:r>
      <w:r w:rsidRPr="00285F8B">
        <w:rPr>
          <w:u w:color="000000" w:themeColor="text1"/>
        </w:rPr>
        <w:noBreakHyphen/>
        <w:t>61</w:t>
      </w:r>
      <w:r w:rsidRPr="00285F8B">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t>(C)</w:t>
      </w:r>
      <w:r w:rsidRPr="00285F8B">
        <w:rPr>
          <w:u w:color="000000" w:themeColor="text1"/>
        </w:rPr>
        <w:tab/>
        <w:t>The purchase price for each of the interests of a cotenant that requested partition by sale is the value of the entire parcel determined pursuant to Section 15</w:t>
      </w:r>
      <w:r w:rsidRPr="00285F8B">
        <w:rPr>
          <w:u w:color="000000" w:themeColor="text1"/>
        </w:rPr>
        <w:noBreakHyphen/>
        <w:t>61</w:t>
      </w:r>
      <w:r w:rsidRPr="00285F8B">
        <w:rPr>
          <w:u w:color="000000" w:themeColor="text1"/>
        </w:rPr>
        <w:noBreakHyphen/>
        <w:t>360 multiplied by the cotenant’s fractional ownership of the entire parcel.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(D)</w:t>
      </w:r>
      <w:r w:rsidRPr="00285F8B">
        <w:rPr>
          <w:u w:color="000000" w:themeColor="text1"/>
        </w:rPr>
        <w:tab/>
        <w:t>After the expiration of the period in subsection (B), the following requirements apply: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If only one cotenant elects to buy all the interests of the cotenants that requested partition by sale, the court shall notify the party filing the partition action of that fact.  After receiving notice from the court, the party filing the partition action shall notify all the parties of that same fact.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court shall send notice of the order to the party that filed the partition action and, within one week from the date notice was sent, the party filing the partition action shall send a copy of the order showing the price to be paid by each electing cotenant to all other cotenants with a known address.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285F8B">
        <w:rPr>
          <w:u w:color="000000" w:themeColor="text1"/>
        </w:rPr>
        <w:noBreakHyphen/>
        <w:t>61</w:t>
      </w:r>
      <w:r w:rsidRPr="00285F8B">
        <w:rPr>
          <w:u w:color="000000" w:themeColor="text1"/>
        </w:rPr>
        <w:noBreakHyphen/>
        <w:t>380.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(E)</w:t>
      </w:r>
      <w:r w:rsidRPr="00285F8B">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If all electing cotenants timely pay their apportioned price into court, the court shall issue an order reallocating all the interests of the cotenants and disburse the amounts held by the court to the persons entitled to them.</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If no electing cotenant timely pays its apportioned price, the court shall resolve the partition action pursuant to Section 15</w:t>
      </w:r>
      <w:r w:rsidRPr="00285F8B">
        <w:rPr>
          <w:u w:color="000000" w:themeColor="text1"/>
        </w:rPr>
        <w:noBreakHyphen/>
        <w:t>61</w:t>
      </w:r>
      <w:r w:rsidRPr="00285F8B">
        <w:rPr>
          <w:u w:color="000000" w:themeColor="text1"/>
        </w:rPr>
        <w:noBreakHyphen/>
        <w:t>380(A) and (B), as if the interests of the cotenants that requested partition by sale were not purchased.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 xml:space="preserve">If one or more but not all of the electing cotenants fail to pay their apportioned price on time, the court, on motion, shall order the party so moving to give notice to the electing cotenants that paid </w:t>
      </w:r>
      <w:r w:rsidRPr="00285F8B">
        <w:rPr>
          <w:u w:color="000000" w:themeColor="text1"/>
        </w:rPr>
        <w:lastRenderedPageBreak/>
        <w:t>their apportioned price of the interest remaining and the price for all the interests.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(F)</w:t>
      </w:r>
      <w:r w:rsidRPr="00285F8B">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285F8B">
        <w:rPr>
          <w:u w:color="000000" w:themeColor="text1"/>
        </w:rPr>
        <w:noBreakHyphen/>
        <w:t>day period, the following requirements apply: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If only one cotenant pays the entire price for the remaining interests, the court shall issue an order reallocating the remaining interests to that cotenant and disburse the amounts held by it to the persons entitled to them.</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If no cotenant pays the entire price for the remaining interests, the court shall resolve the partition action pursuant to Section 15</w:t>
      </w:r>
      <w:r w:rsidRPr="00285F8B">
        <w:rPr>
          <w:u w:color="000000" w:themeColor="text1"/>
        </w:rPr>
        <w:noBreakHyphen/>
        <w:t>61</w:t>
      </w:r>
      <w:r w:rsidRPr="00285F8B">
        <w:rPr>
          <w:u w:color="000000" w:themeColor="text1"/>
        </w:rPr>
        <w:noBreakHyphen/>
        <w:t>380, as if the interests of the cotenants that requested partition by sale were not purchased.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(G)</w:t>
      </w:r>
      <w:r w:rsidRPr="00285F8B">
        <w:rPr>
          <w:u w:color="000000" w:themeColor="text1"/>
        </w:rPr>
        <w:tab/>
        <w:t>Not later than forty days after the party filing the partition action sends notice to the parties pursuant to subsection (A), any cotenant entitled to buy an interest under this section may request the court to authorize a sale as part of the pending action of the interests of cotenants named as defendants and served with the complaint, but that did not appear in the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(H)</w:t>
      </w:r>
      <w:r w:rsidRPr="00285F8B">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The purchase price for the interest of a non</w:t>
      </w:r>
      <w:r w:rsidRPr="00285F8B">
        <w:rPr>
          <w:u w:color="000000" w:themeColor="text1"/>
        </w:rPr>
        <w:noBreakHyphen/>
        <w:t>appearing cotenant is based on the court’s determination of value pursuant to Section 15</w:t>
      </w:r>
      <w:r w:rsidRPr="00285F8B">
        <w:rPr>
          <w:u w:color="000000" w:themeColor="text1"/>
        </w:rPr>
        <w:noBreakHyphen/>
        <w:t>61</w:t>
      </w:r>
      <w:r w:rsidRPr="00285F8B">
        <w:rPr>
          <w:u w:color="000000" w:themeColor="text1"/>
        </w:rPr>
        <w:noBreakHyphen/>
        <w:t>360.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t>Section 15</w:t>
      </w:r>
      <w:r w:rsidRPr="00285F8B">
        <w:rPr>
          <w:u w:color="000000" w:themeColor="text1"/>
        </w:rPr>
        <w:noBreakHyphen/>
        <w:t>61</w:t>
      </w:r>
      <w:r w:rsidRPr="00285F8B">
        <w:rPr>
          <w:u w:color="000000" w:themeColor="text1"/>
        </w:rPr>
        <w:noBreakHyphen/>
        <w:t>380.</w:t>
      </w:r>
      <w:r w:rsidRPr="00285F8B">
        <w:rPr>
          <w:u w:color="000000" w:themeColor="text1"/>
        </w:rPr>
        <w:tab/>
        <w:t>(A)</w:t>
      </w:r>
      <w:r w:rsidRPr="00285F8B">
        <w:rPr>
          <w:u w:color="000000" w:themeColor="text1"/>
        </w:rPr>
        <w:tab/>
        <w:t>If all the interests of the cotenants that requested partition by sale are not purchased by other cotenants pursuant to Section 15</w:t>
      </w:r>
      <w:r w:rsidRPr="00285F8B">
        <w:rPr>
          <w:u w:color="000000" w:themeColor="text1"/>
        </w:rPr>
        <w:noBreakHyphen/>
        <w:t>61</w:t>
      </w:r>
      <w:r w:rsidRPr="00285F8B">
        <w:rPr>
          <w:u w:color="000000" w:themeColor="text1"/>
        </w:rPr>
        <w:noBreakHyphen/>
        <w:t>370 or if, after conclusion of the buyout pursuant to Section 15</w:t>
      </w:r>
      <w:r w:rsidRPr="00285F8B">
        <w:rPr>
          <w:u w:color="000000" w:themeColor="text1"/>
        </w:rPr>
        <w:noBreakHyphen/>
        <w:t>61</w:t>
      </w:r>
      <w:r w:rsidRPr="00285F8B">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285F8B">
        <w:rPr>
          <w:u w:color="000000" w:themeColor="text1"/>
        </w:rPr>
        <w:noBreakHyphen/>
        <w:t>61</w:t>
      </w:r>
      <w:r w:rsidRPr="00285F8B">
        <w:rPr>
          <w:u w:color="000000" w:themeColor="text1"/>
        </w:rPr>
        <w:noBreakHyphen/>
        <w:t>390, finds that partition in kind or partition by allotment may result in manifest prejudice or manifest injury to the cotenants as a group.  In considering whether to order partition in kind or partition by allotment, the court shall approve a request by two or more parties to have their individual interests aggregated.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the court does not order partition in kind or partition by allotment under subsection (A), the court shall order partition by sale pursuant to Section 15</w:t>
      </w:r>
      <w:r w:rsidRPr="00285F8B">
        <w:rPr>
          <w:u w:color="000000" w:themeColor="text1"/>
        </w:rPr>
        <w:noBreakHyphen/>
        <w:t>61</w:t>
      </w:r>
      <w:r w:rsidRPr="00285F8B">
        <w:rPr>
          <w:u w:color="000000" w:themeColor="text1"/>
        </w:rPr>
        <w:noBreakHyphen/>
        <w:t>400 or, if no cotenant requested partition by sale, the court shall dismiss the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285F8B">
        <w:rPr>
          <w:u w:color="000000" w:themeColor="text1"/>
        </w:rPr>
        <w:noBreakHyphen/>
        <w:t>kind distributions to the cotenants, will make the partition in kind or the partition by allotment just and proportionate in value to the fractional interests held.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390.</w:t>
      </w:r>
      <w:r w:rsidRPr="00285F8B">
        <w:rPr>
          <w:u w:color="000000" w:themeColor="text1"/>
        </w:rPr>
        <w:tab/>
        <w:t>(A)</w:t>
      </w:r>
      <w:r w:rsidRPr="00285F8B">
        <w:rPr>
          <w:u w:color="000000" w:themeColor="text1"/>
        </w:rPr>
        <w:tab/>
        <w:t>In determining pursuant to Section 15</w:t>
      </w:r>
      <w:r w:rsidRPr="00285F8B">
        <w:rPr>
          <w:u w:color="000000" w:themeColor="text1"/>
        </w:rPr>
        <w:noBreakHyphen/>
        <w:t>61</w:t>
      </w:r>
      <w:r w:rsidRPr="00285F8B">
        <w:rPr>
          <w:u w:color="000000" w:themeColor="text1"/>
        </w:rPr>
        <w:noBreakHyphen/>
        <w:t>380(A) whether partition in kind or partition by allotment would result in manifest prejudice or manifest injury to the cotenants as a group, the court shall consider the following: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whether the heirs’ property practicably can be divided among the cotenants;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285F8B">
        <w:rPr>
          <w:u w:color="000000" w:themeColor="text1"/>
        </w:rPr>
        <w:noBreakHyphen/>
        <w:t>ordered sale likely would occur;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(4)</w:t>
      </w:r>
      <w:r w:rsidRPr="00285F8B">
        <w:rPr>
          <w:u w:color="000000" w:themeColor="text1"/>
        </w:rPr>
        <w:tab/>
        <w:t>a cotenant’s sentimental attachment to the property, including any attachment arising because the property has ancestral or other unique or special value to the cotenant;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r>
      <w:r w:rsidRPr="00285F8B">
        <w:rPr>
          <w:u w:color="000000" w:themeColor="text1"/>
        </w:rPr>
        <w:tab/>
        <w:t>(5)</w:t>
      </w:r>
      <w:r w:rsidRPr="00285F8B">
        <w:rPr>
          <w:u w:color="000000" w:themeColor="text1"/>
        </w:rPr>
        <w:tab/>
        <w:t>the lawful use being made of the property by a cotenant and the degree to which the cotenant would be harmed if the cotenant could not continue the same use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(6)</w:t>
      </w:r>
      <w:r w:rsidRPr="00285F8B">
        <w:rPr>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(7)</w:t>
      </w:r>
      <w:r w:rsidRPr="00285F8B">
        <w:rPr>
          <w:u w:color="000000" w:themeColor="text1"/>
        </w:rPr>
        <w:tab/>
        <w:t>any other relevant factor.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The court may not consider any one factor in subsection (A) to be dispositive without weighing the totality of all relevant factors and circumstances.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400.</w:t>
      </w:r>
      <w:r w:rsidRPr="00285F8B">
        <w:rPr>
          <w:u w:color="000000" w:themeColor="text1"/>
        </w:rPr>
        <w:tab/>
        <w:t>(A)</w:t>
      </w:r>
      <w:r w:rsidRPr="00285F8B">
        <w:rPr>
          <w:u w:color="000000" w:themeColor="text1"/>
        </w:rPr>
        <w:tab/>
        <w:t>If the court orders a sale of heirs’ property, the sale must be an open</w:t>
      </w:r>
      <w:r w:rsidRPr="00285F8B">
        <w:rPr>
          <w:u w:color="000000" w:themeColor="text1"/>
        </w:rPr>
        <w:noBreakHyphen/>
        <w:t>market sale unless the court finds that a sale by sealed bids or an auction would be more economically advantageous and in the best interest of the cotenants as a group.</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the court orders an open</w:t>
      </w:r>
      <w:r w:rsidRPr="00285F8B">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If a broker appointed under subsection (B) obtains within a reasonable time an offer to purchase the property for at least the determination of value: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the broker shall comply with the reporting requirements in Section 15</w:t>
      </w:r>
      <w:r w:rsidRPr="00285F8B">
        <w:rPr>
          <w:u w:color="000000" w:themeColor="text1"/>
        </w:rPr>
        <w:noBreakHyphen/>
        <w:t>61</w:t>
      </w:r>
      <w:r w:rsidRPr="00285F8B">
        <w:rPr>
          <w:u w:color="000000" w:themeColor="text1"/>
        </w:rPr>
        <w:noBreakHyphen/>
        <w:t xml:space="preserve">410;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the sale may be completed in accordance with state law other than this article;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the commission of the real estate broker must be paid from the proceeds of the sale.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(D)</w:t>
      </w:r>
      <w:r w:rsidRPr="00285F8B">
        <w:rPr>
          <w:u w:color="000000" w:themeColor="text1"/>
        </w:rPr>
        <w:tab/>
        <w:t>If the broker appointed under subsection (B) does not obtain within a reasonable time an offer to purchase the property for at least the determination of value, the court, after a hearing, may: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approve the highest outstanding offer, if any;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 xml:space="preserve">redetermine the value of the property and order that the property continue to be offered for an additional time; or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lastRenderedPageBreak/>
        <w:tab/>
      </w:r>
      <w:r w:rsidRPr="00285F8B">
        <w:rPr>
          <w:u w:color="000000" w:themeColor="text1"/>
        </w:rPr>
        <w:tab/>
        <w:t>(3)</w:t>
      </w:r>
      <w:r w:rsidRPr="00285F8B">
        <w:rPr>
          <w:u w:color="000000" w:themeColor="text1"/>
        </w:rPr>
        <w:tab/>
        <w:t>order that the property be sold by sealed bids or at an auction.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(E)</w:t>
      </w:r>
      <w:r w:rsidRPr="00285F8B">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(F)</w:t>
      </w:r>
      <w:r w:rsidRPr="00285F8B">
        <w:rPr>
          <w:u w:color="000000" w:themeColor="text1"/>
        </w:rPr>
        <w:tab/>
        <w:t>If a purchaser is entitled to a share of the proceeds of the sale, the purchaser is entitled to a credit against the price in an amount equal to the purchaser’s share of the proceeds.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410.</w:t>
      </w:r>
      <w:r w:rsidRPr="00285F8B">
        <w:rPr>
          <w:u w:color="000000" w:themeColor="text1"/>
        </w:rPr>
        <w:tab/>
        <w:t>(A)</w:t>
      </w:r>
      <w:r w:rsidRPr="00285F8B">
        <w:rPr>
          <w:u w:color="000000" w:themeColor="text1"/>
        </w:rPr>
        <w:tab/>
        <w:t>Unless required otherwise to do so within a shorter time, a broker appointed under Section 15</w:t>
      </w:r>
      <w:r w:rsidRPr="00285F8B">
        <w:rPr>
          <w:u w:color="000000" w:themeColor="text1"/>
        </w:rPr>
        <w:noBreakHyphen/>
        <w:t>61</w:t>
      </w:r>
      <w:r w:rsidRPr="00285F8B">
        <w:rPr>
          <w:u w:color="000000" w:themeColor="text1"/>
        </w:rPr>
        <w:noBreakHyphen/>
        <w:t>400 to offer heirs’ property for open</w:t>
      </w:r>
      <w:r w:rsidRPr="00285F8B">
        <w:rPr>
          <w:u w:color="000000" w:themeColor="text1"/>
        </w:rPr>
        <w:noBreakHyphen/>
        <w:t>market sale shall file a report with the court not later than ten days after receiving an offer to purchase the property for at least the value determined pursuant to Section 15</w:t>
      </w:r>
      <w:r w:rsidRPr="00285F8B">
        <w:rPr>
          <w:u w:color="000000" w:themeColor="text1"/>
        </w:rPr>
        <w:noBreakHyphen/>
        <w:t>61</w:t>
      </w:r>
      <w:r w:rsidRPr="00285F8B">
        <w:rPr>
          <w:u w:color="000000" w:themeColor="text1"/>
        </w:rPr>
        <w:noBreakHyphen/>
        <w:t>360 or 15</w:t>
      </w:r>
      <w:r w:rsidRPr="00285F8B">
        <w:rPr>
          <w:u w:color="000000" w:themeColor="text1"/>
        </w:rPr>
        <w:noBreakHyphen/>
        <w:t>61</w:t>
      </w:r>
      <w:r w:rsidRPr="00285F8B">
        <w:rPr>
          <w:u w:color="000000" w:themeColor="text1"/>
        </w:rPr>
        <w:noBreakHyphen/>
        <w:t>400.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The report required by subsection (A) must contain the following information: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a description of the property to be sold to each buyer;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the name of each buyer;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the proposed purchase price;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(4)</w:t>
      </w:r>
      <w:r w:rsidRPr="00285F8B">
        <w:rPr>
          <w:u w:color="000000" w:themeColor="text1"/>
        </w:rPr>
        <w:tab/>
        <w:t>the terms and conditions of the proposed sale, including the terms of any owner financing;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(5)</w:t>
      </w:r>
      <w:r w:rsidRPr="00285F8B">
        <w:rPr>
          <w:u w:color="000000" w:themeColor="text1"/>
        </w:rPr>
        <w:tab/>
        <w:t>the amounts to be paid to lienholders;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(6)</w:t>
      </w:r>
      <w:r w:rsidRPr="00285F8B">
        <w:rPr>
          <w:u w:color="000000" w:themeColor="text1"/>
        </w:rPr>
        <w:tab/>
        <w:t>a statement of contractual or other arrangements or conditions of the broker’s commission;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(7)</w:t>
      </w:r>
      <w:r w:rsidRPr="00285F8B">
        <w:rPr>
          <w:u w:color="000000" w:themeColor="text1"/>
        </w:rPr>
        <w:tab/>
        <w:t>other material facts relevant to the sale.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420.</w:t>
      </w:r>
      <w:r w:rsidRPr="00285F8B">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2.</w:t>
      </w:r>
      <w:r w:rsidRPr="00285F8B">
        <w:rPr>
          <w:color w:val="000000" w:themeColor="text1"/>
          <w:u w:color="000000" w:themeColor="text1"/>
        </w:rPr>
        <w:tab/>
        <w:t>Sections 15</w:t>
      </w:r>
      <w:r w:rsidRPr="00285F8B">
        <w:rPr>
          <w:color w:val="000000" w:themeColor="text1"/>
          <w:u w:color="000000" w:themeColor="text1"/>
        </w:rPr>
        <w:noBreakHyphen/>
        <w:t>61</w:t>
      </w:r>
      <w:r w:rsidRPr="00285F8B">
        <w:rPr>
          <w:color w:val="000000" w:themeColor="text1"/>
          <w:u w:color="000000" w:themeColor="text1"/>
        </w:rPr>
        <w:noBreakHyphen/>
        <w:t>10 through 15</w:t>
      </w:r>
      <w:r w:rsidRPr="00285F8B">
        <w:rPr>
          <w:color w:val="000000" w:themeColor="text1"/>
          <w:u w:color="000000" w:themeColor="text1"/>
        </w:rPr>
        <w:noBreakHyphen/>
        <w:t>61</w:t>
      </w:r>
      <w:r w:rsidRPr="00285F8B">
        <w:rPr>
          <w:color w:val="000000" w:themeColor="text1"/>
          <w:u w:color="000000" w:themeColor="text1"/>
        </w:rPr>
        <w:noBreakHyphen/>
        <w:t>110 are designated as Article 1, Chapter 61, Title 15 to be entitled “General Provisions”.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3.</w:t>
      </w: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 of the 1976 Code is amended to read: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lastRenderedPageBreak/>
        <w:tab/>
        <w:t>“Section 15</w:t>
      </w:r>
      <w:r w:rsidRPr="00285F8B">
        <w:rPr>
          <w:color w:val="000000" w:themeColor="text1"/>
          <w:u w:color="000000" w:themeColor="text1"/>
        </w:rPr>
        <w:noBreakHyphen/>
        <w:t>61</w:t>
      </w:r>
      <w:r w:rsidRPr="00285F8B">
        <w:rPr>
          <w:color w:val="000000" w:themeColor="text1"/>
          <w:u w:color="000000" w:themeColor="text1"/>
        </w:rPr>
        <w:noBreakHyphen/>
        <w:t>10.</w:t>
      </w:r>
      <w:r w:rsidRPr="00285F8B">
        <w:rPr>
          <w:color w:val="000000" w:themeColor="text1"/>
          <w:u w:color="000000" w:themeColor="text1"/>
        </w:rPr>
        <w:tab/>
      </w:r>
      <w:r w:rsidRPr="00285F8B">
        <w:rPr>
          <w:color w:val="000000" w:themeColor="text1"/>
          <w:u w:val="single" w:color="000000" w:themeColor="text1"/>
        </w:rPr>
        <w:t>(A)</w:t>
      </w:r>
      <w:r w:rsidRPr="00285F8B">
        <w:rPr>
          <w:color w:val="000000" w:themeColor="text1"/>
          <w:u w:color="000000" w:themeColor="text1"/>
        </w:rPr>
        <w:tab/>
        <w:t>All joint tenants and tenants in common who hold, jointly or in common, for a term of life or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ab/>
      </w:r>
      <w:r w:rsidRPr="00285F8B">
        <w:rPr>
          <w:color w:val="000000" w:themeColor="text1"/>
          <w:u w:val="single" w:color="000000" w:themeColor="text1"/>
        </w:rPr>
        <w:t>(B)</w:t>
      </w:r>
      <w:r w:rsidRPr="00285F8B">
        <w:rPr>
          <w:color w:val="000000" w:themeColor="text1"/>
          <w:u w:color="000000" w:themeColor="text1"/>
        </w:rPr>
        <w:tab/>
      </w:r>
      <w:r w:rsidRPr="00285F8B">
        <w:rPr>
          <w:color w:val="000000" w:themeColor="text1"/>
          <w:u w:val="single" w:color="000000" w:themeColor="text1"/>
        </w:rPr>
        <w:t>In an action to partition real property, upon motion of a party or from statements contained in the pleadings, a court shall determine, in a preliminary hearing held after the filing of the action, whether the property is heirs’ property.  If the court determines that the property is heirs’ property, the property must be partitioned under Article 3, Chapter 61, Title 15, unless all of the cotenants otherwise agree in a record.</w:t>
      </w:r>
      <w:r w:rsidRPr="00285F8B">
        <w:rPr>
          <w:color w:val="000000" w:themeColor="text1"/>
          <w:u w:color="000000" w:themeColor="text1"/>
        </w:rPr>
        <w: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4.</w:t>
      </w: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100 of the 1976 Code is amended to read: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100.</w:t>
      </w:r>
      <w:r w:rsidRPr="00285F8B">
        <w:rPr>
          <w:color w:val="000000" w:themeColor="text1"/>
          <w:u w:color="000000" w:themeColor="text1"/>
        </w:rPr>
        <w:tab/>
        <w:t xml:space="preserve">Nothing in </w:t>
      </w:r>
      <w:r w:rsidRPr="00285F8B">
        <w:rPr>
          <w:strike/>
          <w:color w:val="000000" w:themeColor="text1"/>
          <w:u w:color="000000" w:themeColor="text1"/>
        </w:rPr>
        <w:t>Sections 15</w:t>
      </w:r>
      <w:r w:rsidRPr="00285F8B">
        <w:rPr>
          <w:strike/>
          <w:color w:val="000000" w:themeColor="text1"/>
          <w:u w:color="000000" w:themeColor="text1"/>
        </w:rPr>
        <w:noBreakHyphen/>
        <w:t>61</w:t>
      </w:r>
      <w:r w:rsidRPr="00285F8B">
        <w:rPr>
          <w:strike/>
          <w:color w:val="000000" w:themeColor="text1"/>
          <w:u w:color="000000" w:themeColor="text1"/>
        </w:rPr>
        <w:noBreakHyphen/>
        <w:t>60 to 15</w:t>
      </w:r>
      <w:r w:rsidRPr="00285F8B">
        <w:rPr>
          <w:strike/>
          <w:color w:val="000000" w:themeColor="text1"/>
          <w:u w:color="000000" w:themeColor="text1"/>
        </w:rPr>
        <w:noBreakHyphen/>
        <w:t>61</w:t>
      </w:r>
      <w:r w:rsidRPr="00285F8B">
        <w:rPr>
          <w:strike/>
          <w:color w:val="000000" w:themeColor="text1"/>
          <w:u w:color="000000" w:themeColor="text1"/>
        </w:rPr>
        <w:noBreakHyphen/>
        <w:t>90</w:t>
      </w:r>
      <w:r w:rsidRPr="00285F8B">
        <w:rPr>
          <w:color w:val="000000" w:themeColor="text1"/>
          <w:u w:color="000000" w:themeColor="text1"/>
        </w:rPr>
        <w:t xml:space="preserve"> </w:t>
      </w:r>
      <w:r w:rsidRPr="00285F8B">
        <w:rPr>
          <w:color w:val="000000" w:themeColor="text1"/>
          <w:u w:val="single" w:color="000000" w:themeColor="text1"/>
        </w:rPr>
        <w:t>Rule 71, South Carolina Rules of Civil Procedure, concerning partition actions,</w:t>
      </w:r>
      <w:r w:rsidRPr="00285F8B">
        <w:rPr>
          <w:color w:val="000000" w:themeColor="text1"/>
          <w:u w:color="000000" w:themeColor="text1"/>
        </w:rPr>
        <w:t xml:space="preserve"> shall be construed to affect the power of </w:t>
      </w:r>
      <w:r w:rsidRPr="00285F8B">
        <w:rPr>
          <w:strike/>
          <w:color w:val="000000" w:themeColor="text1"/>
          <w:u w:color="000000" w:themeColor="text1"/>
        </w:rPr>
        <w:t>the</w:t>
      </w:r>
      <w:r w:rsidRPr="00285F8B">
        <w:rPr>
          <w:color w:val="000000" w:themeColor="text1"/>
          <w:u w:color="000000" w:themeColor="text1"/>
        </w:rPr>
        <w:t xml:space="preserve"> </w:t>
      </w:r>
      <w:r w:rsidRPr="00285F8B">
        <w:rPr>
          <w:color w:val="000000" w:themeColor="text1"/>
          <w:u w:val="single" w:color="000000" w:themeColor="text1"/>
        </w:rPr>
        <w:t>a</w:t>
      </w:r>
      <w:r w:rsidRPr="00285F8B">
        <w:rPr>
          <w:color w:val="000000" w:themeColor="text1"/>
          <w:u w:color="000000" w:themeColor="text1"/>
        </w:rPr>
        <w:t xml:space="preserve"> court </w:t>
      </w:r>
      <w:r w:rsidRPr="00285F8B">
        <w:rPr>
          <w:strike/>
          <w:color w:val="000000" w:themeColor="text1"/>
          <w:u w:color="000000" w:themeColor="text1"/>
        </w:rPr>
        <w:t>of common pleas</w:t>
      </w:r>
      <w:r w:rsidRPr="00285F8B">
        <w:rPr>
          <w:color w:val="000000" w:themeColor="text1"/>
          <w:u w:color="000000" w:themeColor="text1"/>
        </w:rPr>
        <w:t xml:space="preserve"> </w:t>
      </w:r>
      <w:r w:rsidRPr="00285F8B">
        <w:rPr>
          <w:color w:val="000000" w:themeColor="text1"/>
          <w:u w:val="single" w:color="000000" w:themeColor="text1"/>
        </w:rPr>
        <w:t>hearing a partition action</w:t>
      </w:r>
      <w:r w:rsidRPr="00285F8B">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5.</w:t>
      </w:r>
      <w:r w:rsidRPr="00285F8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85F8B">
        <w:rPr>
          <w:color w:val="000000" w:themeColor="text1"/>
          <w:u w:color="000000" w:themeColor="text1"/>
        </w:rPr>
        <w:lastRenderedPageBreak/>
        <w:t>SECTION</w:t>
      </w:r>
      <w:r w:rsidRPr="00285F8B">
        <w:rPr>
          <w:color w:val="000000" w:themeColor="text1"/>
          <w:u w:color="000000" w:themeColor="text1"/>
        </w:rPr>
        <w:tab/>
        <w:t>6.</w:t>
      </w:r>
      <w:r w:rsidRPr="00285F8B">
        <w:rPr>
          <w:color w:val="000000" w:themeColor="text1"/>
          <w:u w:color="000000" w:themeColor="text1"/>
        </w:rPr>
        <w:tab/>
        <w:t>This act takes effect on January 1, 2017</w:t>
      </w:r>
      <w:r w:rsidR="00C75AE5">
        <w:rPr>
          <w:color w:val="000000" w:themeColor="text1"/>
          <w:u w:color="000000" w:themeColor="text1"/>
        </w:rPr>
        <w:t>,</w:t>
      </w:r>
      <w:r w:rsidRPr="00285F8B">
        <w:rPr>
          <w:color w:val="000000" w:themeColor="text1"/>
          <w:u w:color="000000" w:themeColor="text1"/>
        </w:rPr>
        <w:t xml:space="preserve"> and applies to partition actions filed on or after that date.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053" w:rsidRDefault="00A92053" w:rsidP="00A92053">
      <w:pPr>
        <w:suppressAutoHyphens/>
      </w:pPr>
    </w:p>
    <w:sectPr w:rsidR="00A92053" w:rsidSect="00093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95F300-0DEF-46F0-8AE3-1A5419345BB2}"/>
    <w:embedBold r:id="rId2" w:fontKey="{21320FF4-26A1-4981-A264-CBE2A044901B}"/>
  </w:font>
  <w:font w:name="Calibri">
    <w:panose1 w:val="020F0502020204030204"/>
    <w:charset w:val="00"/>
    <w:family w:val="swiss"/>
    <w:pitch w:val="variable"/>
    <w:sig w:usb0="E00002FF" w:usb1="4000ACFF" w:usb2="00000001" w:usb3="00000000" w:csb0="0000019F" w:csb1="00000000"/>
    <w:embedRegular r:id="rId3" w:fontKey="{4F8F0AE0-262F-41E5-87A0-47AB7DB47E00}"/>
  </w:font>
  <w:font w:name="Segoe UI">
    <w:panose1 w:val="020B0502040204020203"/>
    <w:charset w:val="00"/>
    <w:family w:val="swiss"/>
    <w:pitch w:val="variable"/>
    <w:sig w:usb0="E10022FF" w:usb1="C000E47F" w:usb2="00000029" w:usb3="00000000" w:csb0="000001DF" w:csb1="00000000"/>
    <w:embedRegular r:id="rId4" w:fontKey="{4100FC60-465E-4DEF-97E9-20DA3C9F143D}"/>
  </w:font>
  <w:font w:name="Cambria">
    <w:panose1 w:val="02040503050406030204"/>
    <w:charset w:val="00"/>
    <w:family w:val="roman"/>
    <w:pitch w:val="variable"/>
    <w:sig w:usb0="E00002FF" w:usb1="400004FF" w:usb2="00000000" w:usb3="00000000" w:csb0="0000019F" w:csb1="00000000"/>
    <w:embedRegular r:id="rId5" w:fontKey="{3200BF92-6886-41A2-B29E-FDB8BAA1DC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rsidR="0009338B">
      <w:t>-</w:t>
    </w:r>
    <w:r w:rsidR="0009338B">
      <w:fldChar w:fldCharType="begin"/>
    </w:r>
    <w:r w:rsidR="0009338B">
      <w:instrText xml:space="preserve"> PAGE  \* MERGEFORMAT </w:instrText>
    </w:r>
    <w:r w:rsidR="0009338B">
      <w:fldChar w:fldCharType="separate"/>
    </w:r>
    <w:r w:rsidR="00A92053">
      <w:rPr>
        <w:noProof/>
      </w:rPr>
      <w:t>1</w:t>
    </w:r>
    <w:r w:rsidR="0009338B">
      <w:fldChar w:fldCharType="end"/>
    </w:r>
    <w:r w:rsidR="00093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B" w:rsidRPr="00E355CC" w:rsidRDefault="0009338B"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A920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173E0"/>
    <w:rsid w:val="0009338B"/>
    <w:rsid w:val="000E1039"/>
    <w:rsid w:val="000E1785"/>
    <w:rsid w:val="000F40FA"/>
    <w:rsid w:val="0010776B"/>
    <w:rsid w:val="00133E66"/>
    <w:rsid w:val="001435A3"/>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D01E8"/>
    <w:rsid w:val="003E3696"/>
    <w:rsid w:val="003E5288"/>
    <w:rsid w:val="003F6D79"/>
    <w:rsid w:val="0041760A"/>
    <w:rsid w:val="00417C01"/>
    <w:rsid w:val="00472DF5"/>
    <w:rsid w:val="004809EE"/>
    <w:rsid w:val="004E7D54"/>
    <w:rsid w:val="005273C6"/>
    <w:rsid w:val="00530A69"/>
    <w:rsid w:val="00545593"/>
    <w:rsid w:val="00577C6C"/>
    <w:rsid w:val="005C2FE2"/>
    <w:rsid w:val="005E2BC9"/>
    <w:rsid w:val="00605102"/>
    <w:rsid w:val="006215AA"/>
    <w:rsid w:val="006913C9"/>
    <w:rsid w:val="0069470D"/>
    <w:rsid w:val="006F35C5"/>
    <w:rsid w:val="00734F00"/>
    <w:rsid w:val="007A70AE"/>
    <w:rsid w:val="008362E8"/>
    <w:rsid w:val="008A1768"/>
    <w:rsid w:val="008F0F33"/>
    <w:rsid w:val="008F4429"/>
    <w:rsid w:val="0090530D"/>
    <w:rsid w:val="00905448"/>
    <w:rsid w:val="0094021A"/>
    <w:rsid w:val="009B44AF"/>
    <w:rsid w:val="009C6A0B"/>
    <w:rsid w:val="009F0C77"/>
    <w:rsid w:val="009F4DD1"/>
    <w:rsid w:val="00A41684"/>
    <w:rsid w:val="00A64E80"/>
    <w:rsid w:val="00A72BCD"/>
    <w:rsid w:val="00A741D9"/>
    <w:rsid w:val="00A833AB"/>
    <w:rsid w:val="00A92053"/>
    <w:rsid w:val="00A9741D"/>
    <w:rsid w:val="00AD4B17"/>
    <w:rsid w:val="00B05E38"/>
    <w:rsid w:val="00B27C40"/>
    <w:rsid w:val="00B338FD"/>
    <w:rsid w:val="00B412D4"/>
    <w:rsid w:val="00B6009A"/>
    <w:rsid w:val="00BE3C22"/>
    <w:rsid w:val="00C0345E"/>
    <w:rsid w:val="00C07E6E"/>
    <w:rsid w:val="00C17B9D"/>
    <w:rsid w:val="00C3483A"/>
    <w:rsid w:val="00C74E9D"/>
    <w:rsid w:val="00C75AE5"/>
    <w:rsid w:val="00C82FD3"/>
    <w:rsid w:val="00C92819"/>
    <w:rsid w:val="00CC6B7B"/>
    <w:rsid w:val="00CD2089"/>
    <w:rsid w:val="00D73A67"/>
    <w:rsid w:val="00D970A9"/>
    <w:rsid w:val="00DF3845"/>
    <w:rsid w:val="00E355CC"/>
    <w:rsid w:val="00E41911"/>
    <w:rsid w:val="00E82EC0"/>
    <w:rsid w:val="00E851B0"/>
    <w:rsid w:val="00E92EEF"/>
    <w:rsid w:val="00ED7211"/>
    <w:rsid w:val="00F24442"/>
    <w:rsid w:val="00F50AE3"/>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7211"/>
    <w:pPr>
      <w:spacing w:after="0" w:line="240" w:lineRule="auto"/>
    </w:pPr>
    <w:rPr>
      <w:sz w:val="24"/>
    </w:rPr>
  </w:style>
  <w:style w:type="paragraph" w:styleId="BalloonText">
    <w:name w:val="Balloon Text"/>
    <w:basedOn w:val="Normal"/>
    <w:link w:val="BalloonTextChar"/>
    <w:uiPriority w:val="99"/>
    <w:semiHidden/>
    <w:unhideWhenUsed/>
    <w:rsid w:val="00B6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CA45B-5949-4B15-A941-CD42044A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568F589D.dotm</Template>
  <TotalTime>0</TotalTime>
  <Pages>13</Pages>
  <Words>4308</Words>
  <Characters>21489</Characters>
  <Application>Microsoft Office Word</Application>
  <DocSecurity>0</DocSecurity>
  <Lines>488</Lines>
  <Paragraphs>116</Paragraphs>
  <ScaleCrop>false</ScaleCrop>
  <HeadingPairs>
    <vt:vector size="2" baseType="variant">
      <vt:variant>
        <vt:lpstr>Title</vt:lpstr>
      </vt:variant>
      <vt:variant>
        <vt:i4>1</vt:i4>
      </vt:variant>
    </vt:vector>
  </HeadingPairs>
  <TitlesOfParts>
    <vt:vector size="1" baseType="lpstr">
      <vt:lpstr>2015-2016 Bill 3325: Subject not yet available - South Carolina Legislature Online</vt:lpstr>
    </vt:vector>
  </TitlesOfParts>
  <Company>LPITS</Company>
  <LinksUpToDate>false</LinksUpToDate>
  <CharactersWithSpaces>25862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(Mar. 8, 2016) - South Carolina Legislature Online</dc:title>
  <dc:creator>%USERNAME%</dc:creator>
  <cp:lastModifiedBy>Brent Walling</cp:lastModifiedBy>
  <cp:revision>2</cp:revision>
  <cp:lastPrinted>2016-03-08T18:42:00Z</cp:lastPrinted>
  <dcterms:created xsi:type="dcterms:W3CDTF">2016-03-08T22:45:00Z</dcterms:created>
  <dcterms:modified xsi:type="dcterms:W3CDTF">2016-03-08T22:45:00Z</dcterms:modified>
</cp:coreProperties>
</file>